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2"/>
          <w:szCs w:val="2"/>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华文中宋" w:hAnsi="华文中宋" w:eastAsia="华文中宋"/>
          <w:b/>
          <w:color w:val="auto"/>
          <w:sz w:val="2"/>
          <w:szCs w:val="2"/>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2"/>
          <w:szCs w:val="2"/>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2"/>
          <w:szCs w:val="2"/>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11"/>
          <w:szCs w:val="8"/>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宋体" w:hAnsi="宋体" w:eastAsia="宋体" w:cs="宋体"/>
          <w:color w:val="auto"/>
          <w:sz w:val="32"/>
        </w:rPr>
      </w:pPr>
      <w:r>
        <w:rPr>
          <w:rFonts w:hint="eastAsia" w:ascii="宋体" w:hAnsi="宋体" w:eastAsia="宋体" w:cs="宋体"/>
          <w:color w:val="auto"/>
          <w:sz w:val="32"/>
          <w:szCs w:val="32"/>
        </w:rPr>
        <w:t>泾</w:t>
      </w:r>
      <w:r>
        <w:rPr>
          <w:rFonts w:hint="eastAsia" w:ascii="宋体" w:hAnsi="宋体" w:eastAsia="宋体" w:cs="宋体"/>
          <w:color w:val="auto"/>
          <w:sz w:val="32"/>
          <w:szCs w:val="32"/>
          <w:lang w:val="en-US" w:eastAsia="zh-CN"/>
        </w:rPr>
        <w:t>公管</w:t>
      </w:r>
      <w:r>
        <w:rPr>
          <w:rFonts w:hint="eastAsia" w:ascii="宋体" w:hAnsi="宋体" w:eastAsia="宋体" w:cs="宋体"/>
          <w:color w:val="auto"/>
          <w:sz w:val="32"/>
          <w:szCs w:val="32"/>
        </w:rPr>
        <w:t>字</w:t>
      </w:r>
      <w:r>
        <w:rPr>
          <w:rFonts w:hint="eastAsia" w:ascii="宋体" w:hAnsi="宋体" w:eastAsia="宋体" w:cs="宋体"/>
          <w:color w:val="auto"/>
          <w:sz w:val="32"/>
        </w:rPr>
        <w:t>〔202</w:t>
      </w:r>
      <w:r>
        <w:rPr>
          <w:rFonts w:hint="eastAsia" w:ascii="宋体" w:hAnsi="宋体" w:eastAsia="宋体" w:cs="宋体"/>
          <w:color w:val="auto"/>
          <w:sz w:val="32"/>
          <w:lang w:val="en-US" w:eastAsia="zh-CN"/>
        </w:rPr>
        <w:t>6</w:t>
      </w:r>
      <w:r>
        <w:rPr>
          <w:rFonts w:hint="eastAsia" w:ascii="宋体" w:hAnsi="宋体" w:eastAsia="宋体" w:cs="宋体"/>
          <w:color w:val="auto"/>
          <w:sz w:val="32"/>
        </w:rPr>
        <w:t>〕</w:t>
      </w:r>
      <w:r>
        <w:rPr>
          <w:rFonts w:hint="eastAsia" w:ascii="宋体" w:hAnsi="宋体" w:eastAsia="宋体" w:cs="宋体"/>
          <w:color w:val="auto"/>
          <w:sz w:val="32"/>
          <w:lang w:val="en-US" w:eastAsia="zh-CN"/>
        </w:rPr>
        <w:t>2</w:t>
      </w:r>
      <w:r>
        <w:rPr>
          <w:rFonts w:hint="eastAsia" w:ascii="宋体" w:hAnsi="宋体" w:eastAsia="宋体" w:cs="宋体"/>
          <w:color w:val="auto"/>
          <w:sz w:val="32"/>
        </w:rPr>
        <w:t>号</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仿宋_GB2312" w:hAnsi="宋体" w:eastAsia="仿宋_GB2312"/>
          <w:color w:val="auto"/>
          <w:sz w:val="24"/>
          <w:szCs w:val="21"/>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eastAsia="仿宋_GB2312"/>
          <w:sz w:val="32"/>
          <w:szCs w:val="32"/>
        </w:rPr>
      </w:pPr>
      <w:r>
        <w:rPr>
          <w:rFonts w:hint="eastAsia" w:ascii="方正小标宋简体" w:hAnsi="方正小标宋简体" w:eastAsia="方正小标宋简体" w:cs="方正小标宋简体"/>
          <w:kern w:val="0"/>
          <w:sz w:val="44"/>
          <w:szCs w:val="44"/>
        </w:rPr>
        <w:t>关于2026年第一季度全县政府投资工程建设项目标后履约检查结果情况公示</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32"/>
          <w:szCs w:val="32"/>
        </w:rPr>
      </w:pPr>
      <w:r>
        <w:rPr>
          <w:rFonts w:hint="eastAsia" w:ascii="仿宋_GB2312" w:hAnsi="仿宋" w:eastAsia="仿宋_GB2312"/>
          <w:sz w:val="32"/>
          <w:szCs w:val="32"/>
        </w:rPr>
        <w:t>各有关单位：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为加强政府投资工程建设项目标后履约管理，确保工程建设各方主体诚信履约，202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eastAsia="zh-CN"/>
        </w:rPr>
        <w:t>一</w:t>
      </w:r>
      <w:r>
        <w:rPr>
          <w:rFonts w:hint="eastAsia" w:ascii="仿宋_GB2312" w:eastAsia="仿宋_GB2312"/>
          <w:sz w:val="32"/>
          <w:szCs w:val="32"/>
          <w:lang w:val="en-US" w:eastAsia="zh-CN"/>
        </w:rPr>
        <w:t>季度</w:t>
      </w:r>
      <w:r>
        <w:rPr>
          <w:rFonts w:hint="eastAsia" w:ascii="仿宋_GB2312" w:hAnsi="仿宋" w:eastAsia="仿宋_GB2312"/>
          <w:sz w:val="32"/>
          <w:szCs w:val="32"/>
        </w:rPr>
        <w:t>，我</w:t>
      </w:r>
      <w:r>
        <w:rPr>
          <w:rFonts w:hint="eastAsia" w:ascii="仿宋_GB2312" w:hAnsi="仿宋" w:eastAsia="仿宋_GB2312"/>
          <w:sz w:val="32"/>
          <w:szCs w:val="32"/>
          <w:lang w:eastAsia="zh-CN"/>
        </w:rPr>
        <w:t>局牵头</w:t>
      </w:r>
      <w:r>
        <w:rPr>
          <w:rFonts w:hint="eastAsia" w:ascii="仿宋_GB2312" w:hAnsi="仿宋" w:eastAsia="仿宋_GB2312"/>
          <w:sz w:val="32"/>
          <w:szCs w:val="32"/>
        </w:rPr>
        <w:t>组织对在建工程建设项目标后履约情况进行抽查检查，现将检查结果公示如下：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一、2025年四季度</w:t>
      </w:r>
      <w:r>
        <w:rPr>
          <w:rFonts w:hint="eastAsia" w:ascii="黑体" w:hAnsi="黑体" w:eastAsia="黑体" w:cs="黑体"/>
          <w:sz w:val="32"/>
          <w:szCs w:val="32"/>
          <w:lang w:val="en-US" w:eastAsia="zh-CN"/>
        </w:rPr>
        <w:t>问题整改情况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四季度全县检查通报处理问题项目2个，经2026年一季度组织复核，1个项目完工，为丁家桥镇宣纸书画纸产业基地项目（一期）二次。1个项目整改到位，为国家税务总局泾县税务局谢园路办公区综合业务办公用房维修改造项目。</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季度检查情况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本季度共随机选取8个在建工程项目开展了标后履约检查。开展检查的项目名称分别为：丁家桥镇宣纸书画纸产业基地项目（一期）；国家税务总局泾县税务局谢园路办公区综合业务办公用房维修改造项目；宣城市森林消防队伍能力提升项目-泾县营区；泾县榔桥镇工业集中区基础设施建设项目（一期）EPC；泾县榔桥镇2025年县乡道升级改造项目乌黄路榔桥段—溪西山组水毁道路修复EPC项目；泾川镇董村安置小区项目；中国宣纸小镇项目二期配套服务区及公共设施项目；2025年泾县榔桥镇高标准农田建设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、检查内容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1.工程建设项目合同签订情况</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2.项目部关键岗位人员与投标文件承诺人员、经招标人认可的项目部管理人员是否一致</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3.项目部关键岗位人员到岗履约考勤是否合格</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4.人员变更是否符合相关规定（如有）；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5.招</w:t>
      </w:r>
      <w:r>
        <w:rPr>
          <w:rFonts w:hint="eastAsia" w:ascii="仿宋_GB2312" w:hAnsi="仿宋" w:eastAsia="仿宋_GB2312"/>
          <w:sz w:val="32"/>
          <w:szCs w:val="32"/>
          <w:lang w:eastAsia="zh-CN"/>
        </w:rPr>
        <w:t>、</w:t>
      </w:r>
      <w:r>
        <w:rPr>
          <w:rFonts w:hint="eastAsia" w:ascii="仿宋_GB2312" w:hAnsi="仿宋" w:eastAsia="仿宋_GB2312"/>
          <w:sz w:val="32"/>
          <w:szCs w:val="32"/>
        </w:rPr>
        <w:t>投标文件约定的其他内容。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四、检查情况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检查</w:t>
      </w:r>
      <w:r>
        <w:rPr>
          <w:rFonts w:hint="eastAsia" w:ascii="仿宋_GB2312" w:hAnsi="仿宋" w:eastAsia="仿宋_GB2312"/>
          <w:sz w:val="32"/>
          <w:szCs w:val="32"/>
        </w:rPr>
        <w:t>通过查阅资料、向建设单位了解建设情况、查看施工现场管理机构及核实管理人员身份、检查广域网考勤系统等方式进行，对检查中发现的问题，依据《宣城市工程建设项目投标人不良行为管理办法》现场</w:t>
      </w:r>
      <w:r>
        <w:rPr>
          <w:rFonts w:hint="eastAsia" w:ascii="仿宋_GB2312" w:hAnsi="仿宋" w:eastAsia="仿宋_GB2312"/>
          <w:sz w:val="32"/>
          <w:szCs w:val="32"/>
          <w:lang w:eastAsia="zh-CN"/>
        </w:rPr>
        <w:t>对施工企业进行宣教及</w:t>
      </w:r>
      <w:r>
        <w:rPr>
          <w:rFonts w:hint="eastAsia" w:ascii="仿宋_GB2312" w:hAnsi="仿宋" w:eastAsia="仿宋_GB2312"/>
          <w:sz w:val="32"/>
          <w:szCs w:val="32"/>
        </w:rPr>
        <w:t>开具不良行为记录告知函</w:t>
      </w:r>
      <w:r>
        <w:rPr>
          <w:rFonts w:hint="eastAsia" w:ascii="仿宋_GB2312" w:hAnsi="仿宋" w:eastAsia="仿宋_GB2312"/>
          <w:sz w:val="32"/>
          <w:szCs w:val="32"/>
          <w:lang w:eastAsia="zh-CN"/>
        </w:rPr>
        <w:t>，并按相关规定进行处理。</w:t>
      </w:r>
      <w:r>
        <w:rPr>
          <w:rFonts w:hint="eastAsia" w:ascii="仿宋_GB2312" w:hAnsi="仿宋" w:eastAsia="仿宋_GB2312"/>
          <w:sz w:val="32"/>
          <w:szCs w:val="32"/>
        </w:rPr>
        <w:t>现将检查情况</w:t>
      </w:r>
      <w:r>
        <w:rPr>
          <w:rFonts w:hint="eastAsia" w:ascii="仿宋_GB2312" w:hAnsi="仿宋" w:eastAsia="仿宋_GB2312"/>
          <w:sz w:val="32"/>
          <w:szCs w:val="32"/>
          <w:lang w:eastAsia="zh-CN"/>
        </w:rPr>
        <w:t>公示</w:t>
      </w:r>
      <w:r>
        <w:rPr>
          <w:rFonts w:hint="eastAsia" w:ascii="仿宋_GB2312" w:hAnsi="仿宋" w:eastAsia="仿宋_GB2312"/>
          <w:sz w:val="32"/>
          <w:szCs w:val="32"/>
        </w:rPr>
        <w:t>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kern w:val="0"/>
          <w:sz w:val="32"/>
          <w:szCs w:val="32"/>
          <w:lang w:val="en-US" w:eastAsia="zh-CN" w:bidi="ar-SA"/>
        </w:rPr>
      </w:pPr>
      <w:r>
        <w:rPr>
          <w:rFonts w:hint="eastAsia" w:ascii="仿宋_GB2312" w:hAnsi="仿宋" w:eastAsia="仿宋_GB2312" w:cs="Times New Roman"/>
          <w:kern w:val="2"/>
          <w:sz w:val="32"/>
          <w:szCs w:val="32"/>
          <w:lang w:val="en-US" w:eastAsia="zh-CN" w:bidi="ar-SA"/>
        </w:rPr>
        <w:t>1.</w:t>
      </w:r>
      <w:r>
        <w:rPr>
          <w:rFonts w:hint="eastAsia" w:ascii="楷体_GB2312" w:hAnsi="楷体_GB2312" w:eastAsia="楷体_GB2312" w:cs="楷体_GB2312"/>
          <w:kern w:val="0"/>
          <w:sz w:val="32"/>
          <w:szCs w:val="32"/>
          <w:lang w:val="en-US" w:eastAsia="zh-CN" w:bidi="ar-SA"/>
        </w:rPr>
        <w:t>丁家桥镇宣纸书画纸产业基地项目（一期）</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招标人：泾县丁家桥镇人民政府</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泾县丁家桥镇新渡村股份经济合作社</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施工单位：宣城华瓴建设工程有限公司</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监理单位：</w:t>
      </w:r>
      <w:r>
        <w:rPr>
          <w:rFonts w:hint="eastAsia" w:ascii="仿宋_GB2312" w:eastAsia="仿宋_GB2312" w:cs="Times New Roman"/>
          <w:kern w:val="2"/>
          <w:sz w:val="32"/>
          <w:szCs w:val="32"/>
          <w:lang w:val="en-US" w:eastAsia="zh-CN" w:bidi="ar-SA"/>
        </w:rPr>
        <w:t>安徽天正建设工程有限公司。</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项目已完工</w:t>
      </w:r>
      <w:r>
        <w:rPr>
          <w:rFonts w:hint="eastAsia" w:ascii="仿宋_GB2312" w:eastAsia="仿宋_GB2312" w:cs="Times New Roman"/>
          <w:kern w:val="2"/>
          <w:sz w:val="32"/>
          <w:szCs w:val="32"/>
          <w:lang w:val="en-US" w:eastAsia="zh-CN" w:bidi="ar-SA"/>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仿宋_GB2312" w:eastAsia="仿宋_GB2312" w:cs="Times New Roman"/>
          <w:kern w:val="2"/>
          <w:sz w:val="32"/>
          <w:szCs w:val="32"/>
          <w:lang w:val="en-US" w:eastAsia="zh-CN" w:bidi="ar-SA"/>
        </w:rPr>
        <w:t>2.</w:t>
      </w:r>
      <w:r>
        <w:rPr>
          <w:rFonts w:hint="eastAsia" w:ascii="楷体_GB2312" w:hAnsi="楷体_GB2312" w:eastAsia="楷体_GB2312" w:cs="楷体_GB2312"/>
          <w:kern w:val="0"/>
          <w:sz w:val="32"/>
          <w:szCs w:val="32"/>
          <w:lang w:val="en-US" w:eastAsia="zh-CN" w:bidi="ar-SA"/>
        </w:rPr>
        <w:t>国家税务总局泾县税务局谢园路办公区综合业务办公用房维修改造项目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招标人：国家税务</w:t>
      </w:r>
      <w:r>
        <w:rPr>
          <w:rFonts w:hint="eastAsia" w:ascii="仿宋_GB2312" w:eastAsia="仿宋_GB2312" w:cs="Times New Roman"/>
          <w:kern w:val="2"/>
          <w:sz w:val="32"/>
          <w:szCs w:val="32"/>
          <w:lang w:val="en-US" w:eastAsia="zh-CN" w:bidi="ar-SA"/>
        </w:rPr>
        <w:t>总局泾县税务局；</w:t>
      </w:r>
      <w:r>
        <w:rPr>
          <w:rFonts w:hint="eastAsia" w:ascii="仿宋_GB2312" w:hAnsi="Calibri" w:eastAsia="仿宋_GB2312" w:cs="Times New Roman"/>
          <w:kern w:val="2"/>
          <w:sz w:val="32"/>
          <w:szCs w:val="32"/>
          <w:lang w:val="en-US" w:eastAsia="zh-CN" w:bidi="ar-SA"/>
        </w:rPr>
        <w:t>施工单位</w:t>
      </w:r>
      <w:r>
        <w:rPr>
          <w:rFonts w:hint="eastAsia" w:ascii="仿宋_GB2312" w:eastAsia="仿宋_GB2312" w:cs="Times New Roman"/>
          <w:kern w:val="2"/>
          <w:sz w:val="32"/>
          <w:szCs w:val="32"/>
          <w:lang w:val="en-US" w:eastAsia="zh-CN" w:bidi="ar-SA"/>
        </w:rPr>
        <w:t>：安徽君创建筑工程有限责任公司；</w:t>
      </w:r>
      <w:r>
        <w:rPr>
          <w:rFonts w:hint="eastAsia" w:ascii="仿宋_GB2312" w:hAnsi="Calibri" w:eastAsia="仿宋_GB2312" w:cs="Times New Roman"/>
          <w:kern w:val="2"/>
          <w:sz w:val="32"/>
          <w:szCs w:val="32"/>
          <w:lang w:val="en-US" w:eastAsia="zh-CN" w:bidi="ar-SA"/>
        </w:rPr>
        <w:t>监理单位：</w:t>
      </w:r>
      <w:r>
        <w:rPr>
          <w:rFonts w:hint="eastAsia" w:ascii="仿宋_GB2312" w:eastAsia="仿宋_GB2312" w:cs="Times New Roman"/>
          <w:kern w:val="2"/>
          <w:sz w:val="32"/>
          <w:szCs w:val="32"/>
          <w:lang w:val="en-US" w:eastAsia="zh-CN" w:bidi="ar-SA"/>
        </w:rPr>
        <w:t>安徽弘建工程咨询有限公司。</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3.宣城市森林消防队伍能力提升项目-泾县营区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招标人：泾县应急管理局；施工单位：安徽丽华建设工程有限公司；监理单位：安徽璟弋工程项目管理有限公司</w:t>
      </w:r>
      <w:r>
        <w:rPr>
          <w:rFonts w:hint="eastAsia" w:ascii="仿宋_GB2312" w:eastAsia="仿宋_GB2312" w:cs="Times New Roman"/>
          <w:kern w:val="2"/>
          <w:sz w:val="32"/>
          <w:szCs w:val="32"/>
          <w:lang w:val="en-US" w:eastAsia="zh-CN" w:bidi="ar-SA"/>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val="en-US" w:eastAsia="zh-CN"/>
        </w:rPr>
        <w:t>1月29日技术负责人无正当理由不在岗</w:t>
      </w:r>
      <w:r>
        <w:rPr>
          <w:rFonts w:hint="eastAsia" w:ascii="仿宋_GB2312" w:hAnsi="仿宋" w:eastAsia="仿宋_GB2312"/>
          <w:sz w:val="32"/>
          <w:szCs w:val="32"/>
        </w:rPr>
        <w:t>且未履行请假手续，项</w:t>
      </w:r>
      <w:r>
        <w:rPr>
          <w:rFonts w:ascii="仿宋_GB2312" w:hAnsi="仿宋" w:eastAsia="仿宋_GB2312"/>
          <w:sz w:val="32"/>
          <w:szCs w:val="32"/>
        </w:rPr>
        <w:t>目部其他关键岗位人员到岗履职符合规定。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val="en-US" w:eastAsia="zh-CN"/>
        </w:rPr>
      </w:pPr>
      <w:r>
        <w:rPr>
          <w:rFonts w:hint="eastAsia" w:ascii="楷体_GB2312" w:hAnsi="楷体_GB2312" w:eastAsia="楷体_GB2312" w:cs="楷体_GB2312"/>
          <w:kern w:val="0"/>
          <w:sz w:val="32"/>
          <w:szCs w:val="32"/>
          <w:lang w:val="en-US" w:eastAsia="zh-CN" w:bidi="ar-SA"/>
        </w:rPr>
        <w:t>处理情况：</w:t>
      </w:r>
      <w:r>
        <w:rPr>
          <w:rFonts w:hint="eastAsia" w:ascii="仿宋_GB2312" w:hAnsi="仿宋" w:eastAsia="仿宋_GB2312"/>
          <w:sz w:val="32"/>
          <w:szCs w:val="32"/>
          <w:lang w:eastAsia="zh-CN"/>
        </w:rPr>
        <w:t>对</w:t>
      </w:r>
      <w:r>
        <w:rPr>
          <w:rFonts w:hint="eastAsia" w:ascii="仿宋_GB2312" w:hAnsi="Calibri" w:eastAsia="仿宋_GB2312" w:cs="Times New Roman"/>
          <w:kern w:val="2"/>
          <w:sz w:val="32"/>
          <w:szCs w:val="32"/>
          <w:lang w:val="en-US" w:eastAsia="zh-CN" w:bidi="ar-SA"/>
        </w:rPr>
        <w:t>安徽丽华建设工程有限公司</w:t>
      </w:r>
      <w:r>
        <w:rPr>
          <w:rFonts w:hint="eastAsia" w:ascii="仿宋_GB2312" w:hAnsi="仿宋" w:eastAsia="仿宋_GB2312"/>
          <w:sz w:val="32"/>
          <w:szCs w:val="32"/>
          <w:lang w:val="en-US" w:eastAsia="zh-CN"/>
        </w:rPr>
        <w:t>记不良行为记录。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4.泾县榔桥镇工业集中区基础设施建设项目（一期）EPC</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招标人：泾县榔桥镇人民政府；施工单位：安徽合圆建设工程有限公司（联合体牵头单位），安徽省交通规划设计研究总院股份有限公司（联合体成员单位）；监理单位：安徽省天正建设管理有限公司。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5.泾县榔桥镇2025年县乡道升级改造项目乌黄路榔桥段—溪西山组水毁道路修复EPC项目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招标人：泾县榔桥镇人民政府；施工单位：安徽合圆建设工程有限公司（联合体牵头单位）、河南省中工设计研究院集团股份有限公司（联合体成员单位）；监理单位：宣城市交投工程科技咨询有限公司。</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6.泾川镇董村安置小区项目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招标人：泾县青弋江建设有限公司</w:t>
      </w:r>
      <w:r>
        <w:rPr>
          <w:rFonts w:hint="eastAsia" w:ascii="仿宋_GB2312" w:eastAsia="仿宋_GB2312" w:cs="Times New Roman"/>
          <w:kern w:val="2"/>
          <w:sz w:val="32"/>
          <w:szCs w:val="32"/>
          <w:lang w:val="en-US" w:eastAsia="zh-CN" w:bidi="ar-SA"/>
        </w:rPr>
        <w:t>；施工单位：安徽佳杰生态建设有限公司；监理单位：安徽晋能工程咨询有限公司。</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7.中国宣纸小镇项目二期配套服务区及公共设施项目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招标人：安徽泾县宣纸小镇有限公司；施工单位：宣城市政建设集团有限公司（联合体牵头单位）、安徽中如建筑安装工程有限公司（联合体成员单位）；监理单位：安徽启融工程项目管理有限公司。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8.2025年泾县榔桥镇高标准农田建设项目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招标人：泾县榔桥镇人民政府；施工单位：安徽青硕建设有限公司；监理单位：盛益工程项目管理有限公司。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sz w:val="32"/>
          <w:szCs w:val="32"/>
          <w:lang w:val="en-US"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bCs/>
          <w:sz w:val="32"/>
          <w:szCs w:val="32"/>
        </w:rPr>
      </w:pPr>
      <w:r>
        <w:rPr>
          <w:rFonts w:hint="eastAsia" w:ascii="黑体" w:hAnsi="黑体" w:eastAsia="黑体" w:cs="黑体"/>
          <w:sz w:val="32"/>
          <w:szCs w:val="32"/>
        </w:rPr>
        <w:t>五、存在问题的处理</w:t>
      </w:r>
      <w:r>
        <w:rPr>
          <w:rFonts w:hint="eastAsia" w:ascii="黑体" w:hAnsi="黑体" w:eastAsia="黑体" w:cs="仿宋_GB2312"/>
          <w:bCs/>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上述项目单位（招标人）应</w:t>
      </w:r>
      <w:r>
        <w:rPr>
          <w:rFonts w:hint="eastAsia" w:ascii="仿宋_GB2312" w:hAnsi="仿宋" w:eastAsia="仿宋_GB2312"/>
          <w:sz w:val="32"/>
          <w:szCs w:val="32"/>
          <w:lang w:eastAsia="zh-CN"/>
        </w:rPr>
        <w:t>继续</w:t>
      </w:r>
      <w:r>
        <w:rPr>
          <w:rFonts w:hint="eastAsia" w:ascii="仿宋_GB2312" w:hAnsi="仿宋" w:eastAsia="仿宋_GB2312"/>
          <w:sz w:val="32"/>
          <w:szCs w:val="32"/>
        </w:rPr>
        <w:t>按照合同约定，加强现场管理，切实履行项目标后履约管理主体责任，对存在的问题应立即督促整改</w:t>
      </w:r>
      <w:r>
        <w:rPr>
          <w:rFonts w:hint="eastAsia" w:ascii="仿宋_GB2312" w:hAnsi="仿宋" w:eastAsia="仿宋_GB2312"/>
          <w:sz w:val="32"/>
          <w:szCs w:val="32"/>
          <w:lang w:eastAsia="zh-CN"/>
        </w:rPr>
        <w:t>并按照合同约定落实相应处理</w:t>
      </w:r>
      <w:r>
        <w:rPr>
          <w:rFonts w:hint="eastAsia" w:ascii="仿宋_GB2312" w:hAnsi="仿宋" w:eastAsia="仿宋_GB2312"/>
          <w:sz w:val="32"/>
          <w:szCs w:val="32"/>
        </w:rPr>
        <w:t>，并于10个工作日内向我</w:t>
      </w:r>
      <w:r>
        <w:rPr>
          <w:rFonts w:hint="eastAsia" w:ascii="仿宋_GB2312" w:hAnsi="仿宋" w:eastAsia="仿宋_GB2312"/>
          <w:sz w:val="32"/>
          <w:szCs w:val="32"/>
          <w:lang w:eastAsia="zh-CN"/>
        </w:rPr>
        <w:t>局反馈</w:t>
      </w:r>
      <w:r>
        <w:rPr>
          <w:rFonts w:hint="eastAsia" w:ascii="仿宋_GB2312" w:hAnsi="仿宋" w:eastAsia="仿宋_GB2312"/>
          <w:sz w:val="32"/>
          <w:szCs w:val="32"/>
        </w:rPr>
        <w:t>整改情况。我</w:t>
      </w:r>
      <w:r>
        <w:rPr>
          <w:rFonts w:hint="eastAsia" w:ascii="仿宋_GB2312" w:hAnsi="仿宋" w:eastAsia="仿宋_GB2312"/>
          <w:sz w:val="32"/>
          <w:szCs w:val="32"/>
          <w:lang w:eastAsia="zh-CN"/>
        </w:rPr>
        <w:t>局</w:t>
      </w:r>
      <w:r>
        <w:rPr>
          <w:rFonts w:hint="eastAsia" w:ascii="仿宋_GB2312" w:hAnsi="仿宋" w:eastAsia="仿宋_GB2312"/>
          <w:sz w:val="32"/>
          <w:szCs w:val="32"/>
        </w:rPr>
        <w:t>将不定期组织复查，对整改不到位或拒不整改的单位，将对相关责任主体进行通报</w:t>
      </w:r>
      <w:r>
        <w:rPr>
          <w:rFonts w:hint="eastAsia" w:ascii="仿宋_GB2312" w:hAnsi="仿宋" w:eastAsia="仿宋_GB2312"/>
          <w:sz w:val="32"/>
          <w:szCs w:val="32"/>
          <w:lang w:eastAsia="zh-CN"/>
        </w:rPr>
        <w:t>和进一步处理</w:t>
      </w:r>
      <w:r>
        <w:rPr>
          <w:rFonts w:hint="eastAsia" w:ascii="仿宋_GB2312" w:hAnsi="仿宋"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泾县公共资源交易监督管理局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ascii="仿宋_GB2312" w:hAnsi="仿宋_GB2312" w:eastAsia="仿宋_GB2312" w:cs="仿宋_GB2312"/>
          <w:bCs/>
          <w:sz w:val="32"/>
          <w:szCs w:val="32"/>
        </w:rPr>
        <w:t xml:space="preserve">                        202</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25</w:t>
      </w:r>
      <w:r>
        <w:rPr>
          <w:rFonts w:hint="eastAsia" w:ascii="仿宋_GB2312" w:hAnsi="仿宋_GB2312" w:eastAsia="仿宋_GB2312" w:cs="仿宋_GB2312"/>
          <w:bCs/>
          <w:sz w:val="32"/>
          <w:szCs w:val="32"/>
        </w:rPr>
        <w:t>日</w:t>
      </w:r>
    </w:p>
    <w:p>
      <w:pPr>
        <w:keepNext w:val="0"/>
        <w:keepLines w:val="0"/>
        <w:pageBreakBefore w:val="0"/>
        <w:widowControl w:val="0"/>
        <w:wordWrap/>
        <w:topLinePunct w:val="0"/>
        <w:autoSpaceDE/>
        <w:autoSpaceDN/>
        <w:bidi w:val="0"/>
        <w:adjustRightInd/>
        <w:snapToGrid/>
        <w:spacing w:line="560" w:lineRule="exact"/>
        <w:textAlignment w:val="auto"/>
        <w:rPr>
          <w:rFonts w:hint="eastAsia" w:ascii="仿宋_GB2312" w:hAnsi="仿宋_GB2312" w:eastAsia="仿宋_GB2312" w:cs="仿宋_GB2312"/>
          <w:bCs/>
          <w:sz w:val="32"/>
          <w:szCs w:val="32"/>
          <w:lang w:val="en-US" w:eastAsia="zh-CN"/>
        </w:rPr>
      </w:pP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5246"/>
        </w:tabs>
        <w:bidi w:val="0"/>
        <w:jc w:val="left"/>
        <w:rPr>
          <w:rFonts w:hint="eastAsia"/>
          <w:lang w:val="en-US" w:eastAsia="zh-CN"/>
        </w:rPr>
      </w:pPr>
      <w:r>
        <w:rPr>
          <w:rFonts w:hint="eastAsia"/>
          <w:lang w:val="en-US" w:eastAsia="zh-CN"/>
        </w:rPr>
        <w:tab/>
      </w:r>
    </w:p>
    <w:tbl>
      <w:tblPr>
        <w:tblStyle w:val="7"/>
        <w:tblpPr w:leftFromText="181" w:vertAnchor="page" w:horzAnchor="page" w:tblpX="1744" w:tblpY="13636"/>
        <w:tblOverlap w:val="never"/>
        <w:tblW w:w="0" w:type="auto"/>
        <w:tblInd w:w="0" w:type="dxa"/>
        <w:tblBorders>
          <w:top w:val="single" w:color="auto" w:sz="8" w:space="0"/>
          <w:left w:val="none" w:color="auto" w:sz="0" w:space="0"/>
          <w:bottom w:val="none" w:color="auto" w:sz="0" w:space="0"/>
          <w:right w:val="none" w:color="auto" w:sz="0" w:space="0"/>
          <w:insideH w:val="single" w:color="auto" w:sz="8" w:space="0"/>
          <w:insideV w:val="none" w:color="auto" w:sz="0" w:space="0"/>
        </w:tblBorders>
        <w:tblLayout w:type="fixed"/>
        <w:tblCellMar>
          <w:top w:w="0" w:type="dxa"/>
          <w:left w:w="108" w:type="dxa"/>
          <w:bottom w:w="0" w:type="dxa"/>
          <w:right w:w="108" w:type="dxa"/>
        </w:tblCellMar>
      </w:tblPr>
      <w:tblGrid>
        <w:gridCol w:w="1242"/>
        <w:gridCol w:w="3544"/>
        <w:gridCol w:w="4059"/>
      </w:tblGrid>
      <w:tr>
        <w:tblPrEx>
          <w:tblBorders>
            <w:top w:val="single" w:color="auto" w:sz="8" w:space="0"/>
            <w:left w:val="none" w:color="auto" w:sz="0" w:space="0"/>
            <w:bottom w:val="none" w:color="auto" w:sz="0" w:space="0"/>
            <w:right w:val="none" w:color="auto" w:sz="0" w:space="0"/>
            <w:insideH w:val="single" w:color="auto" w:sz="8" w:space="0"/>
            <w:insideV w:val="none" w:color="auto" w:sz="0" w:space="0"/>
          </w:tblBorders>
          <w:tblCellMar>
            <w:top w:w="0" w:type="dxa"/>
            <w:left w:w="108" w:type="dxa"/>
            <w:bottom w:w="0" w:type="dxa"/>
            <w:right w:w="108" w:type="dxa"/>
          </w:tblCellMar>
        </w:tblPrEx>
        <w:trPr>
          <w:cantSplit/>
          <w:trHeight w:val="499" w:hRule="atLeast"/>
        </w:trPr>
        <w:tc>
          <w:tcPr>
            <w:tcW w:w="1242" w:type="dxa"/>
            <w:tcBorders>
              <w:tl2br w:val="nil"/>
              <w:tr2bl w:val="nil"/>
            </w:tcBorders>
            <w:noWrap w:val="0"/>
            <w:vAlign w:val="top"/>
          </w:tcPr>
          <w:p>
            <w:pPr>
              <w:keepNext w:val="0"/>
              <w:keepLines w:val="0"/>
              <w:pageBreakBefore w:val="0"/>
              <w:kinsoku/>
              <w:overflowPunct/>
              <w:topLinePunct w:val="0"/>
              <w:autoSpaceDN/>
              <w:bidi w:val="0"/>
              <w:adjustRightInd/>
              <w:spacing w:line="560" w:lineRule="exact"/>
              <w:ind w:firstLine="280" w:firstLineChars="100"/>
              <w:textAlignment w:val="auto"/>
              <w:rPr>
                <w:rFonts w:hint="eastAsia" w:ascii="仿宋_GB2312" w:hAnsi="华文仿宋" w:eastAsia="仿宋_GB2312"/>
                <w:sz w:val="28"/>
                <w:szCs w:val="28"/>
              </w:rPr>
            </w:pPr>
            <w:r>
              <w:rPr>
                <w:rFonts w:hint="eastAsia" w:ascii="仿宋_GB2312" w:hAnsi="华文仿宋" w:eastAsia="仿宋_GB2312"/>
                <w:sz w:val="28"/>
                <w:szCs w:val="28"/>
              </w:rPr>
              <w:t>抄送：</w:t>
            </w:r>
          </w:p>
        </w:tc>
        <w:tc>
          <w:tcPr>
            <w:tcW w:w="7603" w:type="dxa"/>
            <w:gridSpan w:val="2"/>
            <w:tcBorders>
              <w:tl2br w:val="nil"/>
              <w:tr2bl w:val="nil"/>
            </w:tcBorders>
            <w:noWrap w:val="0"/>
            <w:vAlign w:val="center"/>
          </w:tcPr>
          <w:p>
            <w:pPr>
              <w:keepNext w:val="0"/>
              <w:keepLines w:val="0"/>
              <w:pageBreakBefore w:val="0"/>
              <w:kinsoku/>
              <w:overflowPunct/>
              <w:topLinePunct w:val="0"/>
              <w:autoSpaceDN/>
              <w:bidi w:val="0"/>
              <w:adjustRightInd/>
              <w:spacing w:line="560" w:lineRule="exact"/>
              <w:textAlignment w:val="auto"/>
              <w:rPr>
                <w:rFonts w:hint="eastAsia" w:ascii="仿宋_GB2312" w:hAnsi="华文仿宋" w:eastAsia="仿宋_GB2312"/>
                <w:sz w:val="28"/>
                <w:szCs w:val="28"/>
              </w:rPr>
            </w:pPr>
            <w:r>
              <w:rPr>
                <w:rFonts w:hint="eastAsia" w:ascii="仿宋_GB2312" w:hAnsi="微软雅黑" w:eastAsia="仿宋_GB2312" w:cs="Helvetica"/>
                <w:kern w:val="2"/>
                <w:sz w:val="28"/>
                <w:szCs w:val="28"/>
              </w:rPr>
              <w:t>宣城市公共资源交易</w:t>
            </w:r>
            <w:r>
              <w:rPr>
                <w:rFonts w:hint="eastAsia" w:ascii="仿宋_GB2312" w:hAnsi="微软雅黑" w:eastAsia="仿宋_GB2312" w:cs="Helvetica"/>
                <w:kern w:val="2"/>
                <w:sz w:val="28"/>
                <w:szCs w:val="28"/>
                <w:lang w:val="en-US" w:eastAsia="zh-CN"/>
              </w:rPr>
              <w:t>监督</w:t>
            </w:r>
            <w:r>
              <w:rPr>
                <w:rFonts w:hint="eastAsia" w:ascii="仿宋_GB2312" w:hAnsi="微软雅黑" w:eastAsia="仿宋_GB2312" w:cs="Helvetica"/>
                <w:kern w:val="2"/>
                <w:sz w:val="28"/>
                <w:szCs w:val="28"/>
              </w:rPr>
              <w:t>管理局</w:t>
            </w:r>
            <w:bookmarkStart w:id="0" w:name="_GoBack"/>
            <w:bookmarkEnd w:id="0"/>
            <w:r>
              <w:rPr>
                <w:rFonts w:hint="eastAsia" w:ascii="仿宋_GB2312" w:hAnsi="微软雅黑" w:eastAsia="仿宋_GB2312" w:cs="Helvetica"/>
                <w:kern w:val="2"/>
                <w:sz w:val="28"/>
                <w:szCs w:val="28"/>
                <w:lang w:eastAsia="zh-CN"/>
              </w:rPr>
              <w:t>。</w:t>
            </w:r>
          </w:p>
        </w:tc>
      </w:tr>
      <w:tr>
        <w:tblPrEx>
          <w:tblBorders>
            <w:top w:val="single" w:color="auto" w:sz="8" w:space="0"/>
            <w:left w:val="none" w:color="auto" w:sz="0" w:space="0"/>
            <w:bottom w:val="none" w:color="auto" w:sz="0" w:space="0"/>
            <w:right w:val="none" w:color="auto" w:sz="0" w:space="0"/>
            <w:insideH w:val="single" w:color="auto" w:sz="8" w:space="0"/>
            <w:insideV w:val="none" w:color="auto" w:sz="0" w:space="0"/>
          </w:tblBorders>
          <w:tblCellMar>
            <w:top w:w="0" w:type="dxa"/>
            <w:left w:w="108" w:type="dxa"/>
            <w:bottom w:w="0" w:type="dxa"/>
            <w:right w:w="108" w:type="dxa"/>
          </w:tblCellMar>
        </w:tblPrEx>
        <w:trPr>
          <w:cantSplit/>
        </w:trPr>
        <w:tc>
          <w:tcPr>
            <w:tcW w:w="4786" w:type="dxa"/>
            <w:gridSpan w:val="2"/>
            <w:tcBorders>
              <w:tl2br w:val="nil"/>
              <w:tr2bl w:val="nil"/>
            </w:tcBorders>
            <w:noWrap w:val="0"/>
            <w:vAlign w:val="center"/>
          </w:tcPr>
          <w:p>
            <w:pPr>
              <w:keepNext w:val="0"/>
              <w:keepLines w:val="0"/>
              <w:pageBreakBefore w:val="0"/>
              <w:kinsoku/>
              <w:overflowPunct/>
              <w:topLinePunct w:val="0"/>
              <w:autoSpaceDN/>
              <w:bidi w:val="0"/>
              <w:adjustRightInd/>
              <w:spacing w:line="560" w:lineRule="exact"/>
              <w:ind w:right="344" w:rightChars="164" w:firstLine="184" w:firstLineChars="100"/>
              <w:textAlignment w:val="auto"/>
              <w:rPr>
                <w:rFonts w:hint="default" w:ascii="仿宋_GB2312" w:eastAsia="仿宋_GB2312"/>
                <w:spacing w:val="-20"/>
                <w:sz w:val="28"/>
                <w:szCs w:val="28"/>
                <w:lang w:val="en-US" w:eastAsia="zh-CN"/>
              </w:rPr>
            </w:pPr>
            <w:r>
              <w:rPr>
                <w:rFonts w:hint="eastAsia" w:ascii="仿宋_GB2312" w:hAnsi="华文仿宋" w:eastAsia="仿宋_GB2312"/>
                <w:spacing w:val="-20"/>
                <w:w w:val="80"/>
                <w:sz w:val="28"/>
                <w:szCs w:val="28"/>
              </w:rPr>
              <w:t xml:space="preserve"> </w:t>
            </w:r>
            <w:r>
              <w:rPr>
                <w:rFonts w:hint="eastAsia" w:ascii="仿宋_GB2312" w:hAnsi="华文仿宋" w:eastAsia="仿宋_GB2312"/>
                <w:spacing w:val="-20"/>
                <w:sz w:val="28"/>
                <w:szCs w:val="28"/>
                <w:lang w:val="en-US" w:eastAsia="zh-CN"/>
              </w:rPr>
              <w:t xml:space="preserve">泾县公共资源交易监督管理局                               </w:t>
            </w:r>
          </w:p>
        </w:tc>
        <w:tc>
          <w:tcPr>
            <w:tcW w:w="4059" w:type="dxa"/>
            <w:tcBorders>
              <w:tl2br w:val="nil"/>
              <w:tr2bl w:val="nil"/>
            </w:tcBorders>
            <w:noWrap w:val="0"/>
            <w:vAlign w:val="center"/>
          </w:tcPr>
          <w:p>
            <w:pPr>
              <w:keepNext w:val="0"/>
              <w:keepLines w:val="0"/>
              <w:pageBreakBefore w:val="0"/>
              <w:kinsoku/>
              <w:overflowPunct/>
              <w:topLinePunct w:val="0"/>
              <w:autoSpaceDN/>
              <w:bidi w:val="0"/>
              <w:adjustRightInd/>
              <w:spacing w:line="560" w:lineRule="exact"/>
              <w:ind w:right="210" w:rightChars="100"/>
              <w:jc w:val="both"/>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 xml:space="preserve">      2026年3月25日印发</w:t>
            </w:r>
          </w:p>
        </w:tc>
      </w:tr>
      <w:tr>
        <w:tblPrEx>
          <w:tblBorders>
            <w:top w:val="single" w:color="auto" w:sz="8" w:space="0"/>
            <w:left w:val="none" w:color="auto" w:sz="0" w:space="0"/>
            <w:bottom w:val="none" w:color="auto" w:sz="0" w:space="0"/>
            <w:right w:val="none" w:color="auto" w:sz="0" w:space="0"/>
            <w:insideH w:val="single" w:color="auto" w:sz="8" w:space="0"/>
            <w:insideV w:val="none" w:color="auto" w:sz="0" w:space="0"/>
          </w:tblBorders>
          <w:tblCellMar>
            <w:top w:w="0" w:type="dxa"/>
            <w:left w:w="108" w:type="dxa"/>
            <w:bottom w:w="0" w:type="dxa"/>
            <w:right w:w="108" w:type="dxa"/>
          </w:tblCellMar>
        </w:tblPrEx>
        <w:trPr>
          <w:cantSplit/>
        </w:trPr>
        <w:tc>
          <w:tcPr>
            <w:tcW w:w="4786" w:type="dxa"/>
            <w:gridSpan w:val="2"/>
            <w:tcBorders>
              <w:tl2br w:val="nil"/>
              <w:tr2bl w:val="nil"/>
            </w:tcBorders>
            <w:noWrap w:val="0"/>
            <w:vAlign w:val="center"/>
          </w:tcPr>
          <w:p>
            <w:pPr>
              <w:keepNext w:val="0"/>
              <w:keepLines w:val="0"/>
              <w:pageBreakBefore w:val="0"/>
              <w:kinsoku/>
              <w:overflowPunct/>
              <w:topLinePunct w:val="0"/>
              <w:autoSpaceDN/>
              <w:bidi w:val="0"/>
              <w:adjustRightInd/>
              <w:spacing w:line="560" w:lineRule="exact"/>
              <w:ind w:right="344" w:rightChars="164" w:firstLine="184" w:firstLineChars="100"/>
              <w:jc w:val="right"/>
              <w:textAlignment w:val="auto"/>
              <w:rPr>
                <w:rFonts w:hint="eastAsia" w:ascii="仿宋_GB2312" w:hAnsi="华文仿宋" w:eastAsia="仿宋_GB2312"/>
                <w:spacing w:val="-20"/>
                <w:w w:val="80"/>
                <w:sz w:val="28"/>
                <w:szCs w:val="28"/>
              </w:rPr>
            </w:pPr>
          </w:p>
        </w:tc>
        <w:tc>
          <w:tcPr>
            <w:tcW w:w="4059" w:type="dxa"/>
            <w:tcBorders>
              <w:tl2br w:val="nil"/>
              <w:tr2bl w:val="nil"/>
            </w:tcBorders>
            <w:noWrap w:val="0"/>
            <w:vAlign w:val="center"/>
          </w:tcPr>
          <w:p>
            <w:pPr>
              <w:keepNext w:val="0"/>
              <w:keepLines w:val="0"/>
              <w:pageBreakBefore w:val="0"/>
              <w:kinsoku/>
              <w:wordWrap w:val="0"/>
              <w:overflowPunct/>
              <w:topLinePunct w:val="0"/>
              <w:autoSpaceDN/>
              <w:bidi w:val="0"/>
              <w:adjustRightInd/>
              <w:spacing w:line="560" w:lineRule="exact"/>
              <w:ind w:right="210" w:rightChars="100"/>
              <w:jc w:val="right"/>
              <w:textAlignment w:val="auto"/>
              <w:rPr>
                <w:rFonts w:hint="default" w:ascii="仿宋_GB2312" w:eastAsia="仿宋_GB2312"/>
                <w:sz w:val="28"/>
                <w:szCs w:val="28"/>
                <w:lang w:val="en-US" w:eastAsia="zh-CN"/>
              </w:rPr>
            </w:pPr>
          </w:p>
        </w:tc>
      </w:tr>
    </w:tbl>
    <w:p>
      <w:pPr>
        <w:tabs>
          <w:tab w:val="left" w:pos="5246"/>
        </w:tabs>
        <w:bidi w:val="0"/>
        <w:jc w:val="left"/>
        <w:rPr>
          <w:rFonts w:hint="eastAsia"/>
          <w:lang w:val="en-US" w:eastAsia="zh-CN"/>
        </w:rPr>
      </w:pPr>
    </w:p>
    <w:sectPr>
      <w:footerReference r:id="rId3" w:type="default"/>
      <w:type w:val="continuous"/>
      <w:pgSz w:w="11906" w:h="16838"/>
      <w:pgMar w:top="1440" w:right="1502" w:bottom="1440" w:left="1502"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4668"/>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  \* MERGEFORMAT </w:instrText>
                          </w:r>
                          <w:r>
                            <w:rPr>
                              <w:rFonts w:hint="eastAsia" w:ascii="宋体" w:hAnsi="宋体" w:eastAsia="宋体" w:cs="宋体"/>
                              <w:sz w:val="30"/>
                              <w:szCs w:val="30"/>
                            </w:rPr>
                            <w:fldChar w:fldCharType="separate"/>
                          </w:r>
                          <w:r>
                            <w:rPr>
                              <w:rFonts w:hint="eastAsia" w:ascii="宋体" w:hAnsi="宋体" w:eastAsia="宋体" w:cs="宋体"/>
                              <w:sz w:val="30"/>
                              <w:szCs w:val="30"/>
                            </w:rPr>
                            <w:t>- 1 -</w:t>
                          </w:r>
                          <w:r>
                            <w:rPr>
                              <w:rFonts w:hint="eastAsia" w:ascii="宋体" w:hAnsi="宋体" w:eastAsia="宋体" w:cs="宋体"/>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  \* MERGEFORMAT </w:instrText>
                    </w:r>
                    <w:r>
                      <w:rPr>
                        <w:rFonts w:hint="eastAsia" w:ascii="宋体" w:hAnsi="宋体" w:eastAsia="宋体" w:cs="宋体"/>
                        <w:sz w:val="30"/>
                        <w:szCs w:val="30"/>
                      </w:rPr>
                      <w:fldChar w:fldCharType="separate"/>
                    </w:r>
                    <w:r>
                      <w:rPr>
                        <w:rFonts w:hint="eastAsia" w:ascii="宋体" w:hAnsi="宋体" w:eastAsia="宋体" w:cs="宋体"/>
                        <w:sz w:val="30"/>
                        <w:szCs w:val="30"/>
                      </w:rPr>
                      <w:t>- 1 -</w:t>
                    </w:r>
                    <w:r>
                      <w:rPr>
                        <w:rFonts w:hint="eastAsia" w:ascii="宋体" w:hAnsi="宋体" w:eastAsia="宋体" w:cs="宋体"/>
                        <w:sz w:val="30"/>
                        <w:szCs w:val="30"/>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2AC088"/>
    <w:multiLevelType w:val="singleLevel"/>
    <w:tmpl w:val="E62AC08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YThjZTM1ZDk4MDAzYmJlNDkxMTc4MWZkZWFiMzgifQ=="/>
    <w:docVar w:name="KSO_WPS_MARK_KEY" w:val="a6bb93ea-4382-4c1f-b303-eccf190abcd5"/>
  </w:docVars>
  <w:rsids>
    <w:rsidRoot w:val="5D280483"/>
    <w:rsid w:val="003C28DE"/>
    <w:rsid w:val="00721451"/>
    <w:rsid w:val="0087626B"/>
    <w:rsid w:val="00A65080"/>
    <w:rsid w:val="00E61ED8"/>
    <w:rsid w:val="01255120"/>
    <w:rsid w:val="012F27D0"/>
    <w:rsid w:val="018362EB"/>
    <w:rsid w:val="02C52286"/>
    <w:rsid w:val="03015719"/>
    <w:rsid w:val="03BE360A"/>
    <w:rsid w:val="04225EA4"/>
    <w:rsid w:val="04357D70"/>
    <w:rsid w:val="04363AE8"/>
    <w:rsid w:val="04A96068"/>
    <w:rsid w:val="069913AC"/>
    <w:rsid w:val="073F4A62"/>
    <w:rsid w:val="075A189C"/>
    <w:rsid w:val="075E0B31"/>
    <w:rsid w:val="07AA45D1"/>
    <w:rsid w:val="093C394F"/>
    <w:rsid w:val="09975029"/>
    <w:rsid w:val="09A514F4"/>
    <w:rsid w:val="09AB2883"/>
    <w:rsid w:val="0B550CF8"/>
    <w:rsid w:val="0B723658"/>
    <w:rsid w:val="0B9D61FB"/>
    <w:rsid w:val="0BF222C8"/>
    <w:rsid w:val="0C2D4E59"/>
    <w:rsid w:val="0DC14423"/>
    <w:rsid w:val="0DE14AC5"/>
    <w:rsid w:val="0E75046E"/>
    <w:rsid w:val="0F607C6B"/>
    <w:rsid w:val="0FB23264"/>
    <w:rsid w:val="1057422E"/>
    <w:rsid w:val="108035FE"/>
    <w:rsid w:val="10E01AC6"/>
    <w:rsid w:val="11571E22"/>
    <w:rsid w:val="11A976A8"/>
    <w:rsid w:val="11AB78C4"/>
    <w:rsid w:val="120668A8"/>
    <w:rsid w:val="12863E8D"/>
    <w:rsid w:val="12BF7E23"/>
    <w:rsid w:val="132A701B"/>
    <w:rsid w:val="13916645"/>
    <w:rsid w:val="13B474CB"/>
    <w:rsid w:val="143040B0"/>
    <w:rsid w:val="143D67CD"/>
    <w:rsid w:val="14CE6EDA"/>
    <w:rsid w:val="14D641DB"/>
    <w:rsid w:val="158C17BA"/>
    <w:rsid w:val="15C9151F"/>
    <w:rsid w:val="160E0421"/>
    <w:rsid w:val="162B4B9C"/>
    <w:rsid w:val="18C1177B"/>
    <w:rsid w:val="1901601B"/>
    <w:rsid w:val="1997072D"/>
    <w:rsid w:val="19C81DB2"/>
    <w:rsid w:val="19EA2F53"/>
    <w:rsid w:val="1A1A4B79"/>
    <w:rsid w:val="1A1B699D"/>
    <w:rsid w:val="1A6A57DB"/>
    <w:rsid w:val="1AB33345"/>
    <w:rsid w:val="1AE17EB2"/>
    <w:rsid w:val="1BFC6F9B"/>
    <w:rsid w:val="1C0227D6"/>
    <w:rsid w:val="1C310BAF"/>
    <w:rsid w:val="1CEB14BC"/>
    <w:rsid w:val="1D006CAA"/>
    <w:rsid w:val="1D2B7012"/>
    <w:rsid w:val="1DF3687A"/>
    <w:rsid w:val="1EC65D3D"/>
    <w:rsid w:val="1F5618C0"/>
    <w:rsid w:val="1F982C57"/>
    <w:rsid w:val="20120B0E"/>
    <w:rsid w:val="20531852"/>
    <w:rsid w:val="20E56222"/>
    <w:rsid w:val="21246D4B"/>
    <w:rsid w:val="21494A03"/>
    <w:rsid w:val="24173588"/>
    <w:rsid w:val="241D69EE"/>
    <w:rsid w:val="24D662FF"/>
    <w:rsid w:val="24D80578"/>
    <w:rsid w:val="24DB29AB"/>
    <w:rsid w:val="24DB5972"/>
    <w:rsid w:val="25CB59E7"/>
    <w:rsid w:val="25FD5DBC"/>
    <w:rsid w:val="26FC5B7E"/>
    <w:rsid w:val="27160EE4"/>
    <w:rsid w:val="272152EF"/>
    <w:rsid w:val="27510A04"/>
    <w:rsid w:val="275D6B12"/>
    <w:rsid w:val="27C22E19"/>
    <w:rsid w:val="27CA6E0A"/>
    <w:rsid w:val="27FC27CF"/>
    <w:rsid w:val="288241F1"/>
    <w:rsid w:val="29B13146"/>
    <w:rsid w:val="29D07A70"/>
    <w:rsid w:val="2BAF7B59"/>
    <w:rsid w:val="2BBB64FD"/>
    <w:rsid w:val="2C6201EE"/>
    <w:rsid w:val="2CC55886"/>
    <w:rsid w:val="2D376058"/>
    <w:rsid w:val="2D632A61"/>
    <w:rsid w:val="2D6F57F1"/>
    <w:rsid w:val="2D83304B"/>
    <w:rsid w:val="2DD77724"/>
    <w:rsid w:val="2E0A551A"/>
    <w:rsid w:val="2E536EC1"/>
    <w:rsid w:val="2EB45BB2"/>
    <w:rsid w:val="2ECD27D0"/>
    <w:rsid w:val="2FA8323D"/>
    <w:rsid w:val="305512BF"/>
    <w:rsid w:val="311C359A"/>
    <w:rsid w:val="315C7E3B"/>
    <w:rsid w:val="31BB7257"/>
    <w:rsid w:val="32512088"/>
    <w:rsid w:val="326D64A4"/>
    <w:rsid w:val="328E671A"/>
    <w:rsid w:val="32BB6DE3"/>
    <w:rsid w:val="32E77BD8"/>
    <w:rsid w:val="33467675"/>
    <w:rsid w:val="340A6274"/>
    <w:rsid w:val="348D6590"/>
    <w:rsid w:val="350031D3"/>
    <w:rsid w:val="3546508A"/>
    <w:rsid w:val="35962397"/>
    <w:rsid w:val="35AB313F"/>
    <w:rsid w:val="35C3492C"/>
    <w:rsid w:val="36554D38"/>
    <w:rsid w:val="36683716"/>
    <w:rsid w:val="36723C5D"/>
    <w:rsid w:val="36D14E27"/>
    <w:rsid w:val="37164F30"/>
    <w:rsid w:val="37537F32"/>
    <w:rsid w:val="382760D7"/>
    <w:rsid w:val="384E7E68"/>
    <w:rsid w:val="38B642D4"/>
    <w:rsid w:val="38E463D4"/>
    <w:rsid w:val="38F372D7"/>
    <w:rsid w:val="398048E2"/>
    <w:rsid w:val="39816974"/>
    <w:rsid w:val="3A6C5593"/>
    <w:rsid w:val="3A95616C"/>
    <w:rsid w:val="3ADD023E"/>
    <w:rsid w:val="3B8E1539"/>
    <w:rsid w:val="3BD76EBD"/>
    <w:rsid w:val="3C12216A"/>
    <w:rsid w:val="3C9963E7"/>
    <w:rsid w:val="3CC03974"/>
    <w:rsid w:val="3D8B21D4"/>
    <w:rsid w:val="3DE6565C"/>
    <w:rsid w:val="3E7E7642"/>
    <w:rsid w:val="3EEC4EF4"/>
    <w:rsid w:val="3F204B9E"/>
    <w:rsid w:val="3F2226C4"/>
    <w:rsid w:val="3F966C0E"/>
    <w:rsid w:val="3F9F7A44"/>
    <w:rsid w:val="3FAE05FF"/>
    <w:rsid w:val="403A1C8F"/>
    <w:rsid w:val="406D5BC1"/>
    <w:rsid w:val="407451A1"/>
    <w:rsid w:val="412541A7"/>
    <w:rsid w:val="41695ED5"/>
    <w:rsid w:val="418138E8"/>
    <w:rsid w:val="421107CE"/>
    <w:rsid w:val="424F6B0E"/>
    <w:rsid w:val="425F778B"/>
    <w:rsid w:val="426042E3"/>
    <w:rsid w:val="42611755"/>
    <w:rsid w:val="426B6130"/>
    <w:rsid w:val="43040332"/>
    <w:rsid w:val="4308030A"/>
    <w:rsid w:val="43C26223"/>
    <w:rsid w:val="44134CD1"/>
    <w:rsid w:val="441C5A61"/>
    <w:rsid w:val="442B201A"/>
    <w:rsid w:val="44327AE1"/>
    <w:rsid w:val="44511355"/>
    <w:rsid w:val="447D214A"/>
    <w:rsid w:val="45513D03"/>
    <w:rsid w:val="455D1141"/>
    <w:rsid w:val="45BA5B8D"/>
    <w:rsid w:val="46222FA9"/>
    <w:rsid w:val="47794E4B"/>
    <w:rsid w:val="481D7ECC"/>
    <w:rsid w:val="482F5E51"/>
    <w:rsid w:val="48482A6F"/>
    <w:rsid w:val="48A35CA5"/>
    <w:rsid w:val="48C72C01"/>
    <w:rsid w:val="49065BFE"/>
    <w:rsid w:val="4941408E"/>
    <w:rsid w:val="49CD5922"/>
    <w:rsid w:val="4A1672C9"/>
    <w:rsid w:val="4A804742"/>
    <w:rsid w:val="4AE051E1"/>
    <w:rsid w:val="4AEA6060"/>
    <w:rsid w:val="4B475260"/>
    <w:rsid w:val="4B7103C2"/>
    <w:rsid w:val="4BB95C9D"/>
    <w:rsid w:val="4BCD39B7"/>
    <w:rsid w:val="4BE60F1D"/>
    <w:rsid w:val="4D4E28D6"/>
    <w:rsid w:val="4D616AAD"/>
    <w:rsid w:val="4E0538DC"/>
    <w:rsid w:val="4E2F6D9C"/>
    <w:rsid w:val="4E9764FE"/>
    <w:rsid w:val="4F0F42E7"/>
    <w:rsid w:val="4F980780"/>
    <w:rsid w:val="4FE87012"/>
    <w:rsid w:val="50243DC2"/>
    <w:rsid w:val="507F4DFA"/>
    <w:rsid w:val="509F0C78"/>
    <w:rsid w:val="51013ED4"/>
    <w:rsid w:val="51B82A14"/>
    <w:rsid w:val="51F31C9E"/>
    <w:rsid w:val="52860D64"/>
    <w:rsid w:val="53B37937"/>
    <w:rsid w:val="53C61B18"/>
    <w:rsid w:val="541A1764"/>
    <w:rsid w:val="54F9355B"/>
    <w:rsid w:val="556E7FB9"/>
    <w:rsid w:val="55924656"/>
    <w:rsid w:val="55DF4A13"/>
    <w:rsid w:val="55E62245"/>
    <w:rsid w:val="568455BA"/>
    <w:rsid w:val="568A320E"/>
    <w:rsid w:val="56A1616C"/>
    <w:rsid w:val="57113C18"/>
    <w:rsid w:val="57315742"/>
    <w:rsid w:val="578B2EF1"/>
    <w:rsid w:val="58000079"/>
    <w:rsid w:val="58782EFD"/>
    <w:rsid w:val="58A14202"/>
    <w:rsid w:val="58A600B4"/>
    <w:rsid w:val="58B505B8"/>
    <w:rsid w:val="591E3AA4"/>
    <w:rsid w:val="59254E33"/>
    <w:rsid w:val="59500ADD"/>
    <w:rsid w:val="59501017"/>
    <w:rsid w:val="59594ADC"/>
    <w:rsid w:val="59A33FA9"/>
    <w:rsid w:val="59DD570D"/>
    <w:rsid w:val="59ED2E2A"/>
    <w:rsid w:val="5A2E5F69"/>
    <w:rsid w:val="5A36607A"/>
    <w:rsid w:val="5AA20705"/>
    <w:rsid w:val="5ADC3C17"/>
    <w:rsid w:val="5B7200D7"/>
    <w:rsid w:val="5B7C5649"/>
    <w:rsid w:val="5BA069F2"/>
    <w:rsid w:val="5BD448EE"/>
    <w:rsid w:val="5BE16AFB"/>
    <w:rsid w:val="5BE42D79"/>
    <w:rsid w:val="5C2515ED"/>
    <w:rsid w:val="5C2C7591"/>
    <w:rsid w:val="5C8C341B"/>
    <w:rsid w:val="5CB241B8"/>
    <w:rsid w:val="5CCE3A33"/>
    <w:rsid w:val="5CF1327E"/>
    <w:rsid w:val="5D280483"/>
    <w:rsid w:val="5D2D69AC"/>
    <w:rsid w:val="5D3B3D3F"/>
    <w:rsid w:val="5D4C6E3D"/>
    <w:rsid w:val="5D6D16F2"/>
    <w:rsid w:val="5DB03139"/>
    <w:rsid w:val="5DBC388C"/>
    <w:rsid w:val="5DEF3C61"/>
    <w:rsid w:val="5E59732C"/>
    <w:rsid w:val="5E5A37D0"/>
    <w:rsid w:val="5EE035AA"/>
    <w:rsid w:val="5F8F74AA"/>
    <w:rsid w:val="60561D75"/>
    <w:rsid w:val="605E6E7C"/>
    <w:rsid w:val="609917DB"/>
    <w:rsid w:val="614B7400"/>
    <w:rsid w:val="61565DA5"/>
    <w:rsid w:val="618648DC"/>
    <w:rsid w:val="6192502F"/>
    <w:rsid w:val="631303F2"/>
    <w:rsid w:val="631B72A6"/>
    <w:rsid w:val="63CB2A7A"/>
    <w:rsid w:val="64942E6C"/>
    <w:rsid w:val="64A31301"/>
    <w:rsid w:val="64AF414A"/>
    <w:rsid w:val="64D20A00"/>
    <w:rsid w:val="64FB2EEB"/>
    <w:rsid w:val="65062F36"/>
    <w:rsid w:val="651144BD"/>
    <w:rsid w:val="66202B8F"/>
    <w:rsid w:val="66E8749F"/>
    <w:rsid w:val="672030DD"/>
    <w:rsid w:val="67966EFB"/>
    <w:rsid w:val="67BC1058"/>
    <w:rsid w:val="67D30D59"/>
    <w:rsid w:val="68684D3C"/>
    <w:rsid w:val="68692C13"/>
    <w:rsid w:val="690A6B1F"/>
    <w:rsid w:val="69766FE4"/>
    <w:rsid w:val="69900C6B"/>
    <w:rsid w:val="69C2047C"/>
    <w:rsid w:val="6AC63F9C"/>
    <w:rsid w:val="6AD466B8"/>
    <w:rsid w:val="6BCB6BB1"/>
    <w:rsid w:val="6C537AB1"/>
    <w:rsid w:val="6C81017A"/>
    <w:rsid w:val="6E5378F4"/>
    <w:rsid w:val="6E8757F0"/>
    <w:rsid w:val="6E881BE0"/>
    <w:rsid w:val="6EF15159"/>
    <w:rsid w:val="6F014109"/>
    <w:rsid w:val="6FD9207B"/>
    <w:rsid w:val="6FE41BF0"/>
    <w:rsid w:val="7051394B"/>
    <w:rsid w:val="706E310B"/>
    <w:rsid w:val="717402AD"/>
    <w:rsid w:val="71A32941"/>
    <w:rsid w:val="722E2B52"/>
    <w:rsid w:val="727367B7"/>
    <w:rsid w:val="7295211E"/>
    <w:rsid w:val="72D24A6D"/>
    <w:rsid w:val="72E256EB"/>
    <w:rsid w:val="72F53670"/>
    <w:rsid w:val="73F6144E"/>
    <w:rsid w:val="7416389E"/>
    <w:rsid w:val="74534AF2"/>
    <w:rsid w:val="74EA0887"/>
    <w:rsid w:val="75BF1D13"/>
    <w:rsid w:val="75EF22D4"/>
    <w:rsid w:val="764C7A4B"/>
    <w:rsid w:val="764C7E7C"/>
    <w:rsid w:val="764E6556"/>
    <w:rsid w:val="76D87530"/>
    <w:rsid w:val="77D870BC"/>
    <w:rsid w:val="77F9775E"/>
    <w:rsid w:val="791E4FA3"/>
    <w:rsid w:val="7A523156"/>
    <w:rsid w:val="7A7C01D3"/>
    <w:rsid w:val="7B2965AD"/>
    <w:rsid w:val="7B30793B"/>
    <w:rsid w:val="7B9F686F"/>
    <w:rsid w:val="7BB3231A"/>
    <w:rsid w:val="7BD81D81"/>
    <w:rsid w:val="7C3F770A"/>
    <w:rsid w:val="7CB00608"/>
    <w:rsid w:val="7CED53B8"/>
    <w:rsid w:val="7D384885"/>
    <w:rsid w:val="7DD10836"/>
    <w:rsid w:val="7E957AB5"/>
    <w:rsid w:val="7EE66563"/>
    <w:rsid w:val="7F007624"/>
    <w:rsid w:val="7F662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99"/>
    <w:pPr>
      <w:spacing w:after="120" w:line="480" w:lineRule="auto"/>
    </w:pPr>
  </w:style>
  <w:style w:type="paragraph" w:styleId="3">
    <w:name w:val="Body Text Indent"/>
    <w:basedOn w:val="1"/>
    <w:semiHidden/>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spacing w:after="0"/>
      <w:ind w:left="0" w:leftChars="0" w:firstLine="420" w:firstLineChars="200"/>
    </w:pPr>
    <w:rPr>
      <w:sz w:val="32"/>
      <w:szCs w:val="32"/>
    </w:rPr>
  </w:style>
  <w:style w:type="paragraph" w:customStyle="1" w:styleId="9">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2037</Words>
  <Characters>2096</Characters>
  <Lines>9</Lines>
  <Paragraphs>2</Paragraphs>
  <TotalTime>1</TotalTime>
  <ScaleCrop>false</ScaleCrop>
  <LinksUpToDate>false</LinksUpToDate>
  <CharactersWithSpaces>2160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2020-09-27T09:00:00Z</dcterms:created>
  <dc:creator>Administrator</dc:creator>
  <cp:lastModifiedBy>戴帽子的桶里</cp:lastModifiedBy>
  <cp:lastPrinted>2025-03-31T07:54:00Z</cp:lastPrinted>
  <dcterms:modified xsi:type="dcterms:W3CDTF">2026-03-25T07:13:45Z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DCF8A942115C48CCB2FD04209F357F77</vt:lpwstr>
  </property>
</Properties>
</file>