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pPr w:leftFromText="181" w:rightFromText="181" w:vertAnchor="text" w:horzAnchor="margin" w:tblpX="568" w:tblpY="579"/>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05"/>
      </w:tblGrid>
      <w:tr w14:paraId="502D112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505" w:type="dxa"/>
          </w:tcPr>
          <w:p w14:paraId="1FA320C6">
            <w:pPr>
              <w:pStyle w:val="49"/>
              <w:framePr w:w="0" w:hRule="auto" w:wrap="auto" w:vAnchor="margin" w:hAnchor="text" w:xAlign="left" w:yAlign="inline"/>
              <w:rPr>
                <w:rFonts w:ascii="宋体" w:hAnsi="宋体"/>
                <w:sz w:val="28"/>
                <w:szCs w:val="28"/>
              </w:rPr>
            </w:pPr>
            <w:bookmarkStart w:id="0" w:name="_Hlk26473981"/>
            <w: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XCGJZ</w:t>
            </w:r>
            <w:r>
              <w:fldChar w:fldCharType="end"/>
            </w:r>
            <w:bookmarkEnd w:id="1"/>
          </w:p>
        </w:tc>
      </w:tr>
    </w:tbl>
    <w:p w14:paraId="6BF84BCD">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2"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宣城市公共资源交易中心</w:t>
      </w:r>
      <w:r>
        <w:rPr>
          <w:rFonts w:ascii="黑体" w:eastAsia="黑体"/>
          <w:b w:val="0"/>
          <w:w w:val="100"/>
          <w:sz w:val="48"/>
        </w:rPr>
        <w:fldChar w:fldCharType="end"/>
      </w:r>
      <w:bookmarkEnd w:id="2"/>
      <w:r>
        <w:rPr>
          <w:rFonts w:hint="eastAsia" w:ascii="黑体" w:eastAsia="黑体"/>
          <w:b w:val="0"/>
          <w:w w:val="100"/>
          <w:sz w:val="48"/>
        </w:rPr>
        <w:t>企业</w:t>
      </w:r>
      <w:r>
        <w:rPr>
          <w:rFonts w:hint="eastAsia" w:ascii="黑体" w:hAnsi="黑体" w:eastAsia="黑体"/>
          <w:b w:val="0"/>
          <w:bCs w:val="0"/>
          <w:w w:val="100"/>
          <w:sz w:val="48"/>
          <w:szCs w:val="48"/>
        </w:rPr>
        <w:t>标准</w:t>
      </w:r>
    </w:p>
    <w:bookmarkEnd w:id="0"/>
    <w:p w14:paraId="2F80E59E">
      <w:pPr>
        <w:pStyle w:val="195"/>
        <w:framePr/>
      </w:pPr>
      <w:r>
        <w:t>Q/</w:t>
      </w:r>
      <w:r>
        <w:fldChar w:fldCharType="begin">
          <w:ffData>
            <w:name w:val="文字1"/>
            <w:enabled/>
            <w:calcOnExit w:val="0"/>
            <w:textInput>
              <w:default w:val="XXX"/>
            </w:textInput>
          </w:ffData>
        </w:fldChar>
      </w:r>
      <w:bookmarkStart w:id="3" w:name="文字1"/>
      <w:r>
        <w:instrText xml:space="preserve"> FORMTEXT </w:instrText>
      </w:r>
      <w:r>
        <w:fldChar w:fldCharType="separate"/>
      </w:r>
      <w:r>
        <w:t>XCGJZ</w:t>
      </w:r>
      <w:r>
        <w:fldChar w:fldCharType="end"/>
      </w:r>
      <w:bookmarkEnd w:id="3"/>
      <w:r>
        <w:t xml:space="preserve"> </w:t>
      </w:r>
      <w:r>
        <w:fldChar w:fldCharType="begin">
          <w:ffData>
            <w:name w:val="NSTD_CODE_F"/>
            <w:enabled/>
            <w:calcOnExit w:val="0"/>
            <w:textInput>
              <w:default w:val="XXXX"/>
            </w:textInput>
          </w:ffData>
        </w:fldChar>
      </w:r>
      <w:bookmarkStart w:id="4" w:name="NSTD_CODE_F"/>
      <w:r>
        <w:instrText xml:space="preserve"> FORMTEXT </w:instrText>
      </w:r>
      <w:r>
        <w:fldChar w:fldCharType="separate"/>
      </w:r>
      <w:r>
        <w:t>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rPr>
          <w:rFonts w:hint="eastAsia"/>
        </w:rPr>
        <w:t>202</w:t>
      </w:r>
      <w:r>
        <w:t>5</w:t>
      </w:r>
      <w:r>
        <w:fldChar w:fldCharType="end"/>
      </w:r>
      <w:bookmarkEnd w:id="5"/>
    </w:p>
    <w:p w14:paraId="7EF5B8D5">
      <w:pPr>
        <w:pStyle w:val="196"/>
        <w:framePr/>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6"/>
    </w:p>
    <w:p w14:paraId="33C0CCCC">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67D8D0C">
      <w:pPr>
        <w:pStyle w:val="50"/>
        <w:framePr w:w="9639" w:h="6976" w:hRule="exact" w:hSpace="0" w:vSpace="0" w:wrap="around" w:hAnchor="page" w:y="6408"/>
        <w:jc w:val="center"/>
        <w:rPr>
          <w:rFonts w:ascii="黑体" w:hAnsi="黑体" w:eastAsia="黑体"/>
          <w:b w:val="0"/>
          <w:bCs w:val="0"/>
          <w:w w:val="100"/>
        </w:rPr>
      </w:pPr>
    </w:p>
    <w:p w14:paraId="1998BE28">
      <w:pPr>
        <w:pStyle w:val="197"/>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t>进场交易项目受理登记服务规范</w:t>
      </w:r>
      <w:r>
        <w:fldChar w:fldCharType="end"/>
      </w:r>
      <w:bookmarkEnd w:id="7"/>
    </w:p>
    <w:p w14:paraId="13C3D23C">
      <w:pPr>
        <w:framePr w:w="9639" w:h="6974" w:hRule="exact" w:wrap="around" w:vAnchor="page" w:hAnchor="page" w:x="1419" w:y="6408" w:anchorLock="1"/>
        <w:ind w:left="-1418"/>
      </w:pPr>
    </w:p>
    <w:p w14:paraId="711C462C">
      <w:pPr>
        <w:framePr w:w="9639" w:h="6974" w:hRule="exact" w:wrap="around" w:vAnchor="page" w:hAnchor="page" w:x="1419" w:y="6408" w:anchorLock="1"/>
        <w:spacing w:line="760" w:lineRule="exact"/>
        <w:ind w:left="-1418"/>
      </w:pPr>
    </w:p>
    <w:p w14:paraId="64BD0A9B">
      <w:pPr>
        <w:pStyle w:val="125"/>
        <w:framePr w:w="9639" w:h="6974" w:hRule="exact" w:wrap="around" w:vAnchor="page" w:hAnchor="page" w:x="1419" w:y="6408" w:anchorLock="1"/>
        <w:textAlignment w:val="bottom"/>
        <w:rPr>
          <w:rFonts w:eastAsia="黑体"/>
          <w:szCs w:val="28"/>
        </w:rPr>
      </w:pPr>
    </w:p>
    <w:p w14:paraId="434CC9A1">
      <w:pPr>
        <w:pStyle w:val="125"/>
        <w:framePr w:w="9639" w:h="6974" w:hRule="exact" w:wrap="around" w:vAnchor="page" w:hAnchor="page" w:x="1419" w:y="6408" w:anchorLock="1"/>
        <w:spacing w:before="440" w:after="160"/>
        <w:textAlignment w:val="bottom"/>
        <w:rPr>
          <w:sz w:val="24"/>
          <w:szCs w:val="28"/>
        </w:rPr>
      </w:pPr>
    </w:p>
    <w:p w14:paraId="73672A48">
      <w:pPr>
        <w:pStyle w:val="125"/>
        <w:framePr w:w="9639" w:h="6974" w:hRule="exact" w:wrap="around" w:vAnchor="page" w:hAnchor="page" w:x="1419" w:y="6408" w:anchorLock="1"/>
        <w:spacing w:before="720" w:beforeLines="300" w:after="72" w:afterLines="30" w:line="240" w:lineRule="auto"/>
        <w:textAlignment w:val="bottom"/>
        <w:rPr>
          <w:b/>
          <w:sz w:val="21"/>
          <w:szCs w:val="28"/>
        </w:rPr>
      </w:pPr>
    </w:p>
    <w:p w14:paraId="57CDEF23">
      <w:pPr>
        <w:pStyle w:val="193"/>
        <w:framePr w:wrap="around" w:y="14176"/>
      </w:pPr>
      <w:r>
        <w:rPr>
          <w:rFonts w:ascii="黑体"/>
        </w:rPr>
        <w:fldChar w:fldCharType="begin">
          <w:ffData>
            <w:name w:val="PLSH_DATE_Y"/>
            <w:enabled/>
            <w:calcOnExit w:val="0"/>
            <w:textInput>
              <w:default w:val="XXXX"/>
              <w:maxLength w:val="4"/>
            </w:textInput>
          </w:ffData>
        </w:fldChar>
      </w:r>
      <w:bookmarkStart w:id="8" w:name="PLSH_DATE_Y"/>
      <w:r>
        <w:rPr>
          <w:rFonts w:ascii="黑体"/>
        </w:rPr>
        <w:instrText xml:space="preserve"> FORMTEXT </w:instrText>
      </w:r>
      <w:r>
        <w:rPr>
          <w:rFonts w:ascii="黑体"/>
        </w:rPr>
        <w:fldChar w:fldCharType="separate"/>
      </w:r>
      <w:r>
        <w:rPr>
          <w:rFonts w:ascii="黑体"/>
        </w:rPr>
        <w:t>2025</w:t>
      </w:r>
      <w:r>
        <w:rPr>
          <w:rFonts w:ascii="黑体"/>
        </w:rPr>
        <w:fldChar w:fldCharType="end"/>
      </w:r>
      <w:bookmarkEnd w:id="8"/>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9"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9"/>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0"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rPr>
          <w:rFonts w:hint="eastAsia"/>
        </w:rPr>
        <w:t>发布</w:t>
      </w:r>
    </w:p>
    <w:p w14:paraId="125BE99C">
      <w:pPr>
        <w:pStyle w:val="194"/>
        <w:framePr w:wrap="around" w:y="14176"/>
      </w:pPr>
      <w:r>
        <w:rPr>
          <w:rFonts w:ascii="黑体"/>
        </w:rPr>
        <w:fldChar w:fldCharType="begin">
          <w:ffData>
            <w:name w:val="CROT_DATE_Y"/>
            <w:enabled/>
            <w:calcOnExit w:val="0"/>
            <w:textInput>
              <w:default w:val="XXXX"/>
              <w:maxLength w:val="4"/>
            </w:textInput>
          </w:ffData>
        </w:fldChar>
      </w:r>
      <w:bookmarkStart w:id="11" w:name="CROT_DATE_Y"/>
      <w:r>
        <w:rPr>
          <w:rFonts w:ascii="黑体"/>
        </w:rPr>
        <w:instrText xml:space="preserve"> FORMTEXT </w:instrText>
      </w:r>
      <w:r>
        <w:rPr>
          <w:rFonts w:ascii="黑体"/>
        </w:rPr>
        <w:fldChar w:fldCharType="separate"/>
      </w:r>
      <w:r>
        <w:rPr>
          <w:rFonts w:ascii="黑体"/>
        </w:rPr>
        <w:t>2025</w:t>
      </w:r>
      <w:r>
        <w:rPr>
          <w:rFonts w:ascii="黑体"/>
        </w:rPr>
        <w:fldChar w:fldCharType="end"/>
      </w:r>
      <w:bookmarkEnd w:id="11"/>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2"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3"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hint="eastAsia"/>
        </w:rPr>
        <w:t>实施</w:t>
      </w:r>
    </w:p>
    <w:p w14:paraId="6B1DBB9E">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4" w:name="fm"/>
      <w:r>
        <w:rPr>
          <w:rFonts w:hAnsi="黑体"/>
          <w:w w:val="100"/>
          <w:sz w:val="28"/>
        </w:rPr>
        <w:instrText xml:space="preserve"> FORMTEXT </w:instrText>
      </w:r>
      <w:r>
        <w:rPr>
          <w:rFonts w:hAnsi="黑体"/>
          <w:w w:val="100"/>
          <w:sz w:val="28"/>
        </w:rPr>
        <w:fldChar w:fldCharType="separate"/>
      </w:r>
      <w:r>
        <w:rPr>
          <w:rFonts w:hAnsi="黑体"/>
          <w:w w:val="100"/>
          <w:sz w:val="28"/>
        </w:rPr>
        <w:t>宣城市公共资源交易中心</w:t>
      </w:r>
      <w:r>
        <w:rPr>
          <w:rFonts w:hAnsi="黑体"/>
          <w:w w:val="100"/>
          <w:sz w:val="28"/>
        </w:rPr>
        <w:fldChar w:fldCharType="end"/>
      </w:r>
      <w:bookmarkEnd w:id="14"/>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484E9CA6">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A49A02C">
      <w:pPr>
        <w:pStyle w:val="89"/>
        <w:spacing w:after="468"/>
      </w:pPr>
      <w:bookmarkStart w:id="15" w:name="BookMark2"/>
      <w:r>
        <w:rPr>
          <w:spacing w:val="320"/>
        </w:rPr>
        <w:t>前</w:t>
      </w:r>
      <w:r>
        <w:t>言</w:t>
      </w:r>
    </w:p>
    <w:p w14:paraId="7592BFFA">
      <w:pPr>
        <w:pStyle w:val="56"/>
        <w:ind w:firstLine="420"/>
      </w:pPr>
      <w:r>
        <w:rPr>
          <w:rFonts w:hint="eastAsia"/>
        </w:rPr>
        <w:t>本文件按照GB/T 1.1—2020《标准化工作导则  第1部分：标准化文件的结构和起草规则》的规定起草。</w:t>
      </w:r>
    </w:p>
    <w:p w14:paraId="19DBCDBD">
      <w:pPr>
        <w:pStyle w:val="56"/>
        <w:ind w:firstLine="420"/>
      </w:pPr>
      <w:r>
        <w:rPr>
          <w:rFonts w:hint="eastAsia"/>
        </w:rPr>
        <w:t>本文件由宣城市公共资源交易中心提出并归口。</w:t>
      </w:r>
    </w:p>
    <w:p w14:paraId="20707F23">
      <w:pPr>
        <w:pStyle w:val="56"/>
        <w:ind w:firstLine="420"/>
      </w:pPr>
      <w:r>
        <w:rPr>
          <w:rFonts w:hint="eastAsia"/>
        </w:rPr>
        <w:t>本文件起草单位：宣城市公共资源交易中心。</w:t>
      </w:r>
    </w:p>
    <w:p w14:paraId="16CA3364">
      <w:pPr>
        <w:pStyle w:val="56"/>
        <w:ind w:firstLine="420"/>
      </w:pPr>
      <w:r>
        <w:rPr>
          <w:rFonts w:hint="eastAsia"/>
        </w:rPr>
        <w:t>本文件主要起草人：×××</w:t>
      </w:r>
    </w:p>
    <w:p w14:paraId="6622365A">
      <w:pPr>
        <w:pStyle w:val="56"/>
        <w:ind w:firstLine="420"/>
      </w:pPr>
    </w:p>
    <w:p w14:paraId="2A078351">
      <w:pPr>
        <w:pStyle w:val="56"/>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p>
    <w:bookmarkEnd w:id="15"/>
    <w:p w14:paraId="1D332F46">
      <w:pPr>
        <w:spacing w:line="20" w:lineRule="exact"/>
        <w:jc w:val="center"/>
        <w:rPr>
          <w:rFonts w:ascii="黑体" w:hAnsi="黑体" w:eastAsia="黑体"/>
          <w:sz w:val="32"/>
          <w:szCs w:val="32"/>
        </w:rPr>
      </w:pPr>
      <w:bookmarkStart w:id="16" w:name="BookMark4"/>
    </w:p>
    <w:p w14:paraId="4FA95C68">
      <w:pPr>
        <w:spacing w:line="20" w:lineRule="exact"/>
        <w:jc w:val="center"/>
        <w:rPr>
          <w:rFonts w:ascii="黑体" w:hAnsi="黑体" w:eastAsia="黑体"/>
          <w:sz w:val="32"/>
          <w:szCs w:val="32"/>
        </w:rPr>
      </w:pPr>
    </w:p>
    <w:sdt>
      <w:sdtPr>
        <w:tag w:val="NEW_STAND_NAME"/>
        <w:id w:val="595910757"/>
        <w:lock w:val="sdtLocked"/>
        <w:placeholder>
          <w:docPart w:val="D1560A00ECDF43E1BFE3189C275C2732"/>
        </w:placeholder>
      </w:sdtPr>
      <w:sdtEndPr>
        <w:rPr>
          <w:color w:val="auto"/>
          <w:highlight w:val="none"/>
        </w:rPr>
      </w:sdtEndPr>
      <w:sdtContent>
        <w:p w14:paraId="2F4AE2AA">
          <w:pPr>
            <w:pStyle w:val="177"/>
            <w:spacing w:before="3" w:beforeLines="1" w:after="686" w:afterLines="220"/>
            <w:rPr>
              <w:color w:val="auto"/>
              <w:highlight w:val="none"/>
            </w:rPr>
          </w:pPr>
          <w:bookmarkStart w:id="17" w:name="NEW_STAND_NAME"/>
          <w:bookmarkStart w:id="39" w:name="_GoBack"/>
          <w:r>
            <w:rPr>
              <w:rFonts w:hint="eastAsia"/>
              <w:color w:val="auto"/>
              <w:highlight w:val="none"/>
            </w:rPr>
            <w:t>进场交易项目受理登记服务规范</w:t>
          </w:r>
        </w:p>
      </w:sdtContent>
    </w:sdt>
    <w:bookmarkEnd w:id="17"/>
    <w:p w14:paraId="66E66846">
      <w:pPr>
        <w:pStyle w:val="104"/>
        <w:spacing w:before="312" w:after="312"/>
        <w:rPr>
          <w:color w:val="auto"/>
          <w:highlight w:val="none"/>
        </w:rPr>
      </w:pPr>
      <w:bookmarkStart w:id="18" w:name="_Toc26986771"/>
      <w:bookmarkStart w:id="19" w:name="_Toc26718930"/>
      <w:bookmarkStart w:id="20" w:name="_Toc24884211"/>
      <w:bookmarkStart w:id="21" w:name="_Toc98918883"/>
      <w:bookmarkStart w:id="22" w:name="_Toc24884218"/>
      <w:bookmarkStart w:id="23" w:name="_Toc26648465"/>
      <w:bookmarkStart w:id="24" w:name="_Toc17233333"/>
      <w:bookmarkStart w:id="25" w:name="_Toc17233325"/>
      <w:bookmarkStart w:id="26" w:name="_Toc26986530"/>
      <w:r>
        <w:rPr>
          <w:rFonts w:hint="eastAsia"/>
          <w:color w:val="auto"/>
          <w:highlight w:val="none"/>
        </w:rPr>
        <w:t>范围</w:t>
      </w:r>
      <w:bookmarkEnd w:id="18"/>
      <w:bookmarkEnd w:id="19"/>
      <w:bookmarkEnd w:id="20"/>
      <w:bookmarkEnd w:id="21"/>
      <w:bookmarkEnd w:id="22"/>
      <w:bookmarkEnd w:id="23"/>
      <w:bookmarkEnd w:id="24"/>
      <w:bookmarkEnd w:id="25"/>
      <w:bookmarkEnd w:id="26"/>
    </w:p>
    <w:p w14:paraId="303B4170">
      <w:pPr>
        <w:pStyle w:val="56"/>
        <w:ind w:firstLine="420"/>
        <w:rPr>
          <w:color w:val="auto"/>
          <w:highlight w:val="none"/>
        </w:rPr>
      </w:pPr>
      <w:bookmarkStart w:id="27" w:name="_Toc17233334"/>
      <w:bookmarkStart w:id="28" w:name="_Toc24884219"/>
      <w:bookmarkStart w:id="29" w:name="_Toc26648466"/>
      <w:bookmarkStart w:id="30" w:name="_Toc17233326"/>
      <w:bookmarkStart w:id="31" w:name="_Toc24884212"/>
      <w:r>
        <w:rPr>
          <w:color w:val="auto"/>
          <w:highlight w:val="none"/>
        </w:rPr>
        <w:t>本文件</w:t>
      </w:r>
      <w:r>
        <w:rPr>
          <w:rFonts w:hint="eastAsia"/>
          <w:color w:val="auto"/>
          <w:highlight w:val="none"/>
        </w:rPr>
        <w:t xml:space="preserve">规定了进入宣城市公共资源交易中心（以下简称“中心”）交易项目登记范围、登记材料和登记要求。 </w:t>
      </w:r>
    </w:p>
    <w:p w14:paraId="6C4A30C3">
      <w:pPr>
        <w:pStyle w:val="56"/>
        <w:ind w:firstLine="420"/>
        <w:rPr>
          <w:color w:val="auto"/>
          <w:highlight w:val="none"/>
        </w:rPr>
      </w:pPr>
      <w:r>
        <w:rPr>
          <w:rFonts w:hint="eastAsia"/>
          <w:color w:val="auto"/>
          <w:highlight w:val="none"/>
        </w:rPr>
        <w:t>本文件适用于中心业务科室登记业务的管理。</w:t>
      </w:r>
    </w:p>
    <w:p w14:paraId="753DA930">
      <w:pPr>
        <w:pStyle w:val="104"/>
        <w:spacing w:before="312" w:after="312"/>
        <w:rPr>
          <w:color w:val="auto"/>
          <w:highlight w:val="none"/>
        </w:rPr>
      </w:pPr>
      <w:bookmarkStart w:id="32" w:name="_Toc26986531"/>
      <w:bookmarkStart w:id="33" w:name="_Toc26718931"/>
      <w:bookmarkStart w:id="34" w:name="_Toc26986772"/>
      <w:bookmarkStart w:id="35" w:name="_Toc98918884"/>
      <w:r>
        <w:rPr>
          <w:rFonts w:hint="eastAsia"/>
          <w:color w:val="auto"/>
          <w:highlight w:val="none"/>
        </w:rPr>
        <w:t>规范性引用文件</w:t>
      </w:r>
      <w:bookmarkEnd w:id="27"/>
      <w:bookmarkEnd w:id="28"/>
      <w:bookmarkEnd w:id="29"/>
      <w:bookmarkEnd w:id="30"/>
      <w:bookmarkEnd w:id="31"/>
      <w:bookmarkEnd w:id="32"/>
      <w:bookmarkEnd w:id="33"/>
      <w:bookmarkEnd w:id="34"/>
      <w:bookmarkEnd w:id="35"/>
    </w:p>
    <w:sdt>
      <w:sdtPr>
        <w:rPr>
          <w:rFonts w:hint="eastAsia"/>
          <w:color w:val="auto"/>
          <w:highlight w:val="none"/>
        </w:rPr>
        <w:id w:val="715848253"/>
        <w:placeholder>
          <w:docPart w:val="82845FE6394148DDB6BFB592495F490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auto"/>
          <w:highlight w:val="none"/>
        </w:rPr>
      </w:sdtEndPr>
      <w:sdtContent>
        <w:p w14:paraId="59909C7C">
          <w:pPr>
            <w:pStyle w:val="56"/>
            <w:ind w:firstLine="420"/>
            <w:rPr>
              <w:color w:val="auto"/>
              <w:highlight w:val="none"/>
            </w:rPr>
          </w:pPr>
          <w:r>
            <w:rPr>
              <w:rFonts w:hint="eastAsia"/>
              <w:color w:val="auto"/>
              <w:highlight w:val="none"/>
            </w:rPr>
            <w:t>本文件没有规范性引用文件。</w:t>
          </w:r>
        </w:p>
      </w:sdtContent>
    </w:sdt>
    <w:p w14:paraId="1BD0193D">
      <w:pPr>
        <w:pStyle w:val="104"/>
        <w:spacing w:before="312" w:after="312"/>
        <w:rPr>
          <w:color w:val="auto"/>
          <w:highlight w:val="none"/>
        </w:rPr>
      </w:pPr>
      <w:bookmarkStart w:id="36" w:name="_Toc98918885"/>
      <w:r>
        <w:rPr>
          <w:rFonts w:hint="eastAsia"/>
          <w:color w:val="auto"/>
          <w:szCs w:val="21"/>
          <w:highlight w:val="none"/>
        </w:rPr>
        <w:t>术语和定义</w:t>
      </w:r>
      <w:bookmarkEnd w:id="36"/>
    </w:p>
    <w:sdt>
      <w:sdtPr>
        <w:rPr>
          <w:color w:val="auto"/>
          <w:highlight w:val="none"/>
        </w:rPr>
        <w:id w:val="-1909835108"/>
        <w:placeholder>
          <w:docPart w:val="BBB76FB043A848B88D5901347ECF0CD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color w:val="auto"/>
          <w:highlight w:val="none"/>
        </w:rPr>
      </w:sdtEndPr>
      <w:sdtContent>
        <w:p w14:paraId="19650AFC">
          <w:pPr>
            <w:pStyle w:val="56"/>
            <w:ind w:firstLine="420"/>
            <w:rPr>
              <w:color w:val="auto"/>
              <w:highlight w:val="none"/>
            </w:rPr>
          </w:pPr>
          <w:bookmarkStart w:id="37" w:name="_Toc26986532"/>
          <w:bookmarkEnd w:id="37"/>
          <w:r>
            <w:rPr>
              <w:color w:val="auto"/>
              <w:highlight w:val="none"/>
            </w:rPr>
            <w:t>本文件没有需要界定的术语和定义。</w:t>
          </w:r>
        </w:p>
      </w:sdtContent>
    </w:sdt>
    <w:p w14:paraId="54632682">
      <w:pPr>
        <w:pStyle w:val="104"/>
        <w:spacing w:before="312" w:after="312"/>
        <w:rPr>
          <w:color w:val="auto"/>
          <w:highlight w:val="none"/>
        </w:rPr>
      </w:pPr>
      <w:r>
        <w:rPr>
          <w:color w:val="auto"/>
          <w:highlight w:val="none"/>
        </w:rPr>
        <w:t>登记范围</w:t>
      </w:r>
    </w:p>
    <w:p w14:paraId="7AC93592">
      <w:pPr>
        <w:pStyle w:val="56"/>
        <w:ind w:firstLine="420"/>
        <w:rPr>
          <w:color w:val="auto"/>
          <w:highlight w:val="none"/>
        </w:rPr>
      </w:pPr>
      <w:r>
        <w:rPr>
          <w:rFonts w:hint="eastAsia"/>
          <w:color w:val="auto"/>
          <w:highlight w:val="none"/>
        </w:rPr>
        <w:t>进场项目的登记范围包括：工程建设类项目</w:t>
      </w:r>
      <w:r>
        <w:rPr>
          <w:color w:val="auto"/>
          <w:highlight w:val="none"/>
        </w:rPr>
        <w:t>、</w:t>
      </w:r>
      <w:r>
        <w:rPr>
          <w:rFonts w:hint="eastAsia"/>
          <w:color w:val="auto"/>
          <w:highlight w:val="none"/>
        </w:rPr>
        <w:t>政府采购类项目</w:t>
      </w:r>
      <w:r>
        <w:rPr>
          <w:color w:val="auto"/>
          <w:highlight w:val="none"/>
        </w:rPr>
        <w:t>、</w:t>
      </w:r>
      <w:r>
        <w:rPr>
          <w:rFonts w:hint="eastAsia"/>
          <w:color w:val="auto"/>
          <w:highlight w:val="none"/>
        </w:rPr>
        <w:t>产权交易类项目</w:t>
      </w:r>
      <w:r>
        <w:rPr>
          <w:color w:val="auto"/>
          <w:highlight w:val="none"/>
        </w:rPr>
        <w:t>、</w:t>
      </w:r>
      <w:r>
        <w:rPr>
          <w:rFonts w:hint="eastAsia"/>
          <w:color w:val="auto"/>
          <w:highlight w:val="none"/>
        </w:rPr>
        <w:t>国土出让类项目。</w:t>
      </w:r>
    </w:p>
    <w:p w14:paraId="141914E8">
      <w:pPr>
        <w:pStyle w:val="104"/>
        <w:spacing w:before="312" w:after="312"/>
        <w:rPr>
          <w:color w:val="auto"/>
          <w:highlight w:val="none"/>
        </w:rPr>
      </w:pPr>
      <w:r>
        <w:rPr>
          <w:color w:val="auto"/>
          <w:highlight w:val="none"/>
        </w:rPr>
        <w:t>登记材料</w:t>
      </w:r>
    </w:p>
    <w:p w14:paraId="2143CD4B">
      <w:pPr>
        <w:pStyle w:val="56"/>
        <w:ind w:firstLine="420"/>
        <w:rPr>
          <w:color w:val="auto"/>
          <w:highlight w:val="none"/>
        </w:rPr>
      </w:pPr>
      <w:r>
        <w:rPr>
          <w:rFonts w:hint="eastAsia"/>
          <w:color w:val="auto"/>
          <w:highlight w:val="none"/>
        </w:rPr>
        <w:t>项目实施主体或其委托的代理机构在办理项目登记时，应在公共资源交易系统上传以下资料电子件。</w:t>
      </w:r>
    </w:p>
    <w:p w14:paraId="412774E3">
      <w:pPr>
        <w:pStyle w:val="174"/>
        <w:rPr>
          <w:color w:val="auto"/>
          <w:highlight w:val="none"/>
        </w:rPr>
      </w:pPr>
      <w:r>
        <w:rPr>
          <w:rFonts w:hint="eastAsia"/>
          <w:color w:val="auto"/>
          <w:highlight w:val="none"/>
        </w:rPr>
        <w:t>工程建设类项目应提交：</w:t>
      </w:r>
    </w:p>
    <w:p w14:paraId="21BBFC9D">
      <w:pPr>
        <w:pStyle w:val="187"/>
        <w:rPr>
          <w:color w:val="auto"/>
          <w:highlight w:val="none"/>
        </w:rPr>
      </w:pPr>
      <w:r>
        <w:rPr>
          <w:rFonts w:hint="eastAsia"/>
          <w:color w:val="auto"/>
          <w:highlight w:val="none"/>
        </w:rPr>
        <w:t>项目审批或核准文件；</w:t>
      </w:r>
    </w:p>
    <w:p w14:paraId="43D6C5D6">
      <w:pPr>
        <w:pStyle w:val="187"/>
        <w:rPr>
          <w:color w:val="auto"/>
          <w:highlight w:val="none"/>
        </w:rPr>
      </w:pPr>
      <w:r>
        <w:rPr>
          <w:rFonts w:hint="eastAsia"/>
          <w:color w:val="auto"/>
          <w:highlight w:val="none"/>
        </w:rPr>
        <w:t>建设单位资金或资金来源证明材料，其中涉及财政资金的，需要提供财政部门审批材料；</w:t>
      </w:r>
    </w:p>
    <w:p w14:paraId="2170826E">
      <w:pPr>
        <w:pStyle w:val="187"/>
        <w:rPr>
          <w:color w:val="auto"/>
          <w:highlight w:val="none"/>
        </w:rPr>
      </w:pPr>
      <w:r>
        <w:rPr>
          <w:rFonts w:hint="eastAsia"/>
          <w:color w:val="auto"/>
          <w:highlight w:val="none"/>
        </w:rPr>
        <w:t>招标代理机构委托协议（采取委托代理时提供）；</w:t>
      </w:r>
    </w:p>
    <w:p w14:paraId="744867B6">
      <w:pPr>
        <w:pStyle w:val="187"/>
        <w:rPr>
          <w:color w:val="auto"/>
          <w:highlight w:val="none"/>
        </w:rPr>
      </w:pPr>
      <w:r>
        <w:rPr>
          <w:rFonts w:hint="eastAsia"/>
          <w:color w:val="auto"/>
          <w:highlight w:val="none"/>
        </w:rPr>
        <w:t>公平竞争审查材料；</w:t>
      </w:r>
    </w:p>
    <w:p w14:paraId="18BFA256">
      <w:pPr>
        <w:pStyle w:val="187"/>
        <w:rPr>
          <w:color w:val="auto"/>
          <w:highlight w:val="none"/>
        </w:rPr>
      </w:pPr>
      <w:r>
        <w:rPr>
          <w:rFonts w:hint="eastAsia"/>
          <w:color w:val="auto"/>
          <w:highlight w:val="none"/>
        </w:rPr>
        <w:t>招标人认为需要提交的其它材料。</w:t>
      </w:r>
    </w:p>
    <w:p w14:paraId="0AC38268">
      <w:pPr>
        <w:pStyle w:val="174"/>
        <w:rPr>
          <w:color w:val="auto"/>
          <w:highlight w:val="none"/>
        </w:rPr>
      </w:pPr>
      <w:r>
        <w:rPr>
          <w:rFonts w:hint="eastAsia"/>
          <w:color w:val="auto"/>
          <w:highlight w:val="none"/>
        </w:rPr>
        <w:t>政府采购类项目应提交：</w:t>
      </w:r>
    </w:p>
    <w:p w14:paraId="096E7600">
      <w:pPr>
        <w:pStyle w:val="187"/>
        <w:rPr>
          <w:color w:val="auto"/>
          <w:highlight w:val="none"/>
        </w:rPr>
      </w:pPr>
      <w:r>
        <w:rPr>
          <w:rFonts w:hint="eastAsia"/>
          <w:color w:val="auto"/>
          <w:highlight w:val="none"/>
        </w:rPr>
        <w:t>政府采购项目任务书；</w:t>
      </w:r>
    </w:p>
    <w:p w14:paraId="6DB18389">
      <w:pPr>
        <w:pStyle w:val="187"/>
        <w:rPr>
          <w:color w:val="auto"/>
          <w:highlight w:val="none"/>
        </w:rPr>
      </w:pPr>
      <w:r>
        <w:rPr>
          <w:rFonts w:hint="eastAsia"/>
          <w:color w:val="auto"/>
          <w:highlight w:val="none"/>
        </w:rPr>
        <w:t>采购需求；</w:t>
      </w:r>
    </w:p>
    <w:p w14:paraId="4E101F0C">
      <w:pPr>
        <w:pStyle w:val="187"/>
        <w:rPr>
          <w:color w:val="auto"/>
          <w:highlight w:val="none"/>
        </w:rPr>
      </w:pPr>
      <w:r>
        <w:rPr>
          <w:rFonts w:hint="eastAsia"/>
          <w:color w:val="auto"/>
          <w:highlight w:val="none"/>
        </w:rPr>
        <w:t>采购代理委托协议（采取委托代理时提供）；</w:t>
      </w:r>
    </w:p>
    <w:p w14:paraId="5B83E800">
      <w:pPr>
        <w:pStyle w:val="187"/>
        <w:rPr>
          <w:color w:val="auto"/>
          <w:highlight w:val="none"/>
        </w:rPr>
      </w:pPr>
      <w:r>
        <w:rPr>
          <w:rFonts w:hint="eastAsia"/>
          <w:color w:val="auto"/>
          <w:highlight w:val="none"/>
        </w:rPr>
        <w:t>公平竞争审查材料；</w:t>
      </w:r>
    </w:p>
    <w:p w14:paraId="6E681D44">
      <w:pPr>
        <w:pStyle w:val="187"/>
        <w:rPr>
          <w:color w:val="auto"/>
          <w:highlight w:val="none"/>
        </w:rPr>
      </w:pPr>
      <w:r>
        <w:rPr>
          <w:rFonts w:hint="eastAsia"/>
          <w:color w:val="auto"/>
          <w:highlight w:val="none"/>
        </w:rPr>
        <w:t>采购人认为需要提交的其它材料。</w:t>
      </w:r>
    </w:p>
    <w:p w14:paraId="2B37AEAB">
      <w:pPr>
        <w:pStyle w:val="174"/>
        <w:rPr>
          <w:color w:val="auto"/>
          <w:highlight w:val="none"/>
        </w:rPr>
      </w:pPr>
      <w:r>
        <w:rPr>
          <w:rFonts w:hint="eastAsia"/>
          <w:color w:val="auto"/>
          <w:highlight w:val="none"/>
        </w:rPr>
        <w:t xml:space="preserve"> 产权交易类项目应提交：</w:t>
      </w:r>
    </w:p>
    <w:p w14:paraId="12349E6E">
      <w:pPr>
        <w:pStyle w:val="187"/>
        <w:rPr>
          <w:color w:val="auto"/>
          <w:highlight w:val="none"/>
        </w:rPr>
      </w:pPr>
      <w:r>
        <w:rPr>
          <w:rFonts w:hint="eastAsia"/>
          <w:color w:val="auto"/>
          <w:highlight w:val="none"/>
        </w:rPr>
        <w:t>交易批复（批准）文件；</w:t>
      </w:r>
    </w:p>
    <w:p w14:paraId="07AEA04E">
      <w:pPr>
        <w:pStyle w:val="187"/>
        <w:rPr>
          <w:color w:val="auto"/>
          <w:highlight w:val="none"/>
        </w:rPr>
      </w:pPr>
      <w:r>
        <w:rPr>
          <w:rFonts w:hint="eastAsia"/>
          <w:color w:val="auto"/>
          <w:highlight w:val="none"/>
        </w:rPr>
        <w:t>权属证明材料；</w:t>
      </w:r>
    </w:p>
    <w:p w14:paraId="5148889B">
      <w:pPr>
        <w:pStyle w:val="187"/>
        <w:rPr>
          <w:color w:val="auto"/>
          <w:highlight w:val="none"/>
        </w:rPr>
      </w:pPr>
      <w:r>
        <w:rPr>
          <w:rFonts w:hint="eastAsia"/>
          <w:color w:val="auto"/>
          <w:highlight w:val="none"/>
        </w:rPr>
        <w:t>评估报告；</w:t>
      </w:r>
    </w:p>
    <w:p w14:paraId="66AD8BF5">
      <w:pPr>
        <w:pStyle w:val="187"/>
        <w:rPr>
          <w:color w:val="auto"/>
          <w:highlight w:val="none"/>
        </w:rPr>
      </w:pPr>
      <w:r>
        <w:rPr>
          <w:rFonts w:hint="eastAsia"/>
          <w:color w:val="auto"/>
          <w:highlight w:val="none"/>
        </w:rPr>
        <w:t>出让人认为需要提交的其它材料。</w:t>
      </w:r>
    </w:p>
    <w:p w14:paraId="2ADF1431">
      <w:pPr>
        <w:pStyle w:val="174"/>
        <w:rPr>
          <w:color w:val="auto"/>
          <w:highlight w:val="none"/>
        </w:rPr>
      </w:pPr>
      <w:r>
        <w:rPr>
          <w:rFonts w:hint="eastAsia"/>
          <w:color w:val="auto"/>
          <w:highlight w:val="none"/>
        </w:rPr>
        <w:t>国土出让类项目应提交：</w:t>
      </w:r>
    </w:p>
    <w:p w14:paraId="4B165BA4">
      <w:pPr>
        <w:pStyle w:val="187"/>
        <w:rPr>
          <w:color w:val="auto"/>
          <w:highlight w:val="none"/>
        </w:rPr>
      </w:pPr>
      <w:r>
        <w:rPr>
          <w:rFonts w:hint="eastAsia"/>
          <w:color w:val="auto"/>
          <w:highlight w:val="none"/>
        </w:rPr>
        <w:t>项目批复文件；</w:t>
      </w:r>
    </w:p>
    <w:p w14:paraId="33C67321">
      <w:pPr>
        <w:pStyle w:val="187"/>
        <w:rPr>
          <w:color w:val="auto"/>
          <w:highlight w:val="none"/>
        </w:rPr>
      </w:pPr>
      <w:r>
        <w:rPr>
          <w:rFonts w:hint="eastAsia"/>
          <w:color w:val="auto"/>
          <w:highlight w:val="none"/>
        </w:rPr>
        <w:t>出让人认为需要提交的其它材料。</w:t>
      </w:r>
    </w:p>
    <w:p w14:paraId="5F3B7694">
      <w:pPr>
        <w:pStyle w:val="104"/>
        <w:spacing w:before="312" w:after="312"/>
        <w:rPr>
          <w:color w:val="auto"/>
          <w:highlight w:val="none"/>
        </w:rPr>
      </w:pPr>
      <w:r>
        <w:rPr>
          <w:color w:val="auto"/>
          <w:highlight w:val="none"/>
        </w:rPr>
        <w:t>登记要求</w:t>
      </w:r>
    </w:p>
    <w:p w14:paraId="0740F172">
      <w:pPr>
        <w:pStyle w:val="162"/>
        <w:rPr>
          <w:color w:val="auto"/>
          <w:highlight w:val="none"/>
        </w:rPr>
      </w:pPr>
      <w:r>
        <w:rPr>
          <w:color w:val="auto"/>
          <w:highlight w:val="none"/>
        </w:rPr>
        <w:t>项目</w:t>
      </w:r>
      <w:r>
        <w:rPr>
          <w:rFonts w:hint="eastAsia"/>
          <w:color w:val="auto"/>
          <w:highlight w:val="none"/>
        </w:rPr>
        <w:t>登记前，项目实施主体或其委托的代理机构应明确监管部门。</w:t>
      </w:r>
    </w:p>
    <w:p w14:paraId="617B688C">
      <w:pPr>
        <w:pStyle w:val="162"/>
        <w:rPr>
          <w:color w:val="auto"/>
          <w:highlight w:val="none"/>
        </w:rPr>
      </w:pPr>
      <w:r>
        <w:rPr>
          <w:rFonts w:hint="eastAsia"/>
          <w:color w:val="auto"/>
          <w:highlight w:val="none"/>
        </w:rPr>
        <w:t>中心业务科室应指导项目实施主体或其委托的代理机构在公共资源交易系统准确、完整填写项目登记信息。</w:t>
      </w:r>
    </w:p>
    <w:p w14:paraId="56669D4C">
      <w:pPr>
        <w:pStyle w:val="162"/>
        <w:rPr>
          <w:color w:val="auto"/>
          <w:highlight w:val="none"/>
        </w:rPr>
      </w:pPr>
      <w:r>
        <w:rPr>
          <w:rFonts w:hint="eastAsia"/>
          <w:color w:val="auto"/>
          <w:highlight w:val="none"/>
        </w:rPr>
        <w:t>项目实施主体应对项目登记信息的合法性、真实性负责。</w:t>
      </w:r>
    </w:p>
    <w:p w14:paraId="39AD4FAA">
      <w:pPr>
        <w:pStyle w:val="162"/>
        <w:rPr>
          <w:color w:val="auto"/>
          <w:highlight w:val="none"/>
        </w:rPr>
      </w:pPr>
      <w:r>
        <w:rPr>
          <w:rFonts w:hint="eastAsia"/>
          <w:color w:val="auto"/>
          <w:highlight w:val="none"/>
        </w:rPr>
        <w:t>中心业务科室在收到项目登记申请时，对登记的项目范围和登记材料进行完整性查看确认，材料齐全的，一个工作日内完成登记。材料不齐全的，予以退回，并以系统推送方式一次性告知退回理由和应当注意的事项。</w:t>
      </w:r>
      <w:bookmarkEnd w:id="39"/>
    </w:p>
    <w:bookmarkEnd w:id="16"/>
    <w:p w14:paraId="48D60B8B">
      <w:pPr>
        <w:pStyle w:val="56"/>
        <w:ind w:firstLine="0" w:firstLineChars="0"/>
        <w:jc w:val="center"/>
      </w:pPr>
      <w:bookmarkStart w:id="38" w:name="BookMark8"/>
      <w:r>
        <w:drawing>
          <wp:inline distT="0" distB="0" distL="0" distR="0">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21"/>
                    <a:stretch>
                      <a:fillRect/>
                    </a:stretch>
                  </pic:blipFill>
                  <pic:spPr>
                    <a:xfrm>
                      <a:off x="0" y="0"/>
                      <a:ext cx="1485900" cy="317500"/>
                    </a:xfrm>
                    <a:prstGeom prst="rect">
                      <a:avLst/>
                    </a:prstGeom>
                  </pic:spPr>
                </pic:pic>
              </a:graphicData>
            </a:graphic>
          </wp:inline>
        </w:drawing>
      </w:r>
      <w:bookmarkEnd w:id="38"/>
    </w:p>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968969">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75D3B8">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08B14">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7620CD">
    <w:pPr>
      <w:pStyle w:val="52"/>
    </w:pPr>
    <w:r>
      <w:fldChar w:fldCharType="begin"/>
    </w:r>
    <w:r>
      <w:instrText xml:space="preserve">PAGE   \* MERGEFORMAT</w:instrText>
    </w:r>
    <w:r>
      <w:fldChar w:fldCharType="separate"/>
    </w:r>
    <w:r>
      <w:rPr>
        <w:lang w:val="zh-CN"/>
      </w:rPr>
      <w:t>2</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2C830D">
    <w:pPr>
      <w:pStyle w:val="51"/>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824B7D">
    <w:pPr>
      <w:pStyle w:val="52"/>
    </w:pPr>
    <w:r>
      <w:fldChar w:fldCharType="begin"/>
    </w:r>
    <w:r>
      <w:instrText xml:space="preserve">PAGE   \* MERGEFORMAT</w:instrText>
    </w:r>
    <w:r>
      <w:fldChar w:fldCharType="separate"/>
    </w:r>
    <w:r>
      <w:rPr>
        <w:lang w:val="zh-CN"/>
      </w:rPr>
      <w:t>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BCE89">
    <w:pPr>
      <w:pStyle w:val="51"/>
    </w:pPr>
    <w:r>
      <w:fldChar w:fldCharType="begin"/>
    </w:r>
    <w:r>
      <w:instrText xml:space="preserve"> PAGE   \* MERGEFORMAT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A5D163">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185FEA">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482D5B">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480B3">
    <w:pPr>
      <w:pStyle w:val="61"/>
    </w:pPr>
    <w:r>
      <w:fldChar w:fldCharType="begin"/>
    </w:r>
    <w:r>
      <w:instrText xml:space="preserve"> STYLEREF  标准文件_文件编号  \* MERGEFORMAT </w:instrText>
    </w:r>
    <w:r>
      <w:fldChar w:fldCharType="separate"/>
    </w:r>
    <w:r>
      <w:t>Q/XCGJZ XXXX—2025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278598">
    <w:pPr>
      <w:pStyle w:val="62"/>
    </w:pPr>
    <w:r>
      <w:fldChar w:fldCharType="begin"/>
    </w:r>
    <w:r>
      <w:instrText xml:space="preserve"> STYLEREF  标准文件_文件编号 \* MERGEFORMAT </w:instrText>
    </w:r>
    <w:r>
      <w:fldChar w:fldCharType="separate"/>
    </w:r>
    <w:r>
      <w:t>Q/XCGJZ XXXX—2025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A92A9">
    <w:pPr>
      <w:pStyle w:val="61"/>
    </w:pPr>
    <w:r>
      <w:fldChar w:fldCharType="begin"/>
    </w:r>
    <w:r>
      <w:instrText xml:space="preserve"> STYLEREF  标准文件_文件编号  \* MERGEFORMAT </w:instrText>
    </w:r>
    <w:r>
      <w:fldChar w:fldCharType="separate"/>
    </w:r>
    <w:r>
      <w:t>Q/XCGJZ XXXX—2025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4B0292">
    <w:pPr>
      <w:pStyle w:val="62"/>
    </w:pPr>
    <w:r>
      <w:fldChar w:fldCharType="begin"/>
    </w:r>
    <w:r>
      <w:instrText xml:space="preserve"> STYLEREF  标准文件_文件编号 \* MERGEFORMAT </w:instrText>
    </w:r>
    <w:r>
      <w:fldChar w:fldCharType="separate"/>
    </w:r>
    <w:r>
      <w:t>Q/XCGJZ XXXX—2025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b9mhOMoz19Ni0Qc4hjqxmBfLgYKPJgMFdpybkLq6o7CQpWn2C+2O2AWyU/qGbndNxMpSOQjRoptmp90Khq49rw==" w:salt="FKQ5EJq+OQXokWPNC80lSw=="/>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13F5"/>
    <w:rsid w:val="0000040A"/>
    <w:rsid w:val="00000A94"/>
    <w:rsid w:val="00001972"/>
    <w:rsid w:val="00001D9A"/>
    <w:rsid w:val="0000380F"/>
    <w:rsid w:val="00007B3A"/>
    <w:rsid w:val="000107E0"/>
    <w:rsid w:val="0001099D"/>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266E"/>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4D6F"/>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826"/>
    <w:rsid w:val="00170804"/>
    <w:rsid w:val="001708E9"/>
    <w:rsid w:val="00171250"/>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AAD"/>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742"/>
    <w:rsid w:val="00247F52"/>
    <w:rsid w:val="00250888"/>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686C"/>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56F0"/>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1F18"/>
    <w:rsid w:val="003B5BF0"/>
    <w:rsid w:val="003B60BF"/>
    <w:rsid w:val="003B6BE3"/>
    <w:rsid w:val="003C010C"/>
    <w:rsid w:val="003C0A6C"/>
    <w:rsid w:val="003C14F8"/>
    <w:rsid w:val="003C4E3F"/>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3403"/>
    <w:rsid w:val="004D4406"/>
    <w:rsid w:val="004D7C42"/>
    <w:rsid w:val="004E0465"/>
    <w:rsid w:val="004E127B"/>
    <w:rsid w:val="004E1C0A"/>
    <w:rsid w:val="004E30C5"/>
    <w:rsid w:val="004E4AA5"/>
    <w:rsid w:val="004E4AEE"/>
    <w:rsid w:val="004E59E3"/>
    <w:rsid w:val="004E67C0"/>
    <w:rsid w:val="004F2C7F"/>
    <w:rsid w:val="004F391A"/>
    <w:rsid w:val="004F3CFB"/>
    <w:rsid w:val="004F3D61"/>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7F5"/>
    <w:rsid w:val="005479DA"/>
    <w:rsid w:val="00547BCC"/>
    <w:rsid w:val="0055013B"/>
    <w:rsid w:val="00551F6F"/>
    <w:rsid w:val="00555044"/>
    <w:rsid w:val="00560391"/>
    <w:rsid w:val="005608D5"/>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247"/>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53C7"/>
    <w:rsid w:val="0073720F"/>
    <w:rsid w:val="00737796"/>
    <w:rsid w:val="0074165C"/>
    <w:rsid w:val="00742C35"/>
    <w:rsid w:val="007432CA"/>
    <w:rsid w:val="007439EB"/>
    <w:rsid w:val="00743CB4"/>
    <w:rsid w:val="00743F0A"/>
    <w:rsid w:val="007444E8"/>
    <w:rsid w:val="0074548E"/>
    <w:rsid w:val="00745773"/>
    <w:rsid w:val="0074674A"/>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3F6A"/>
    <w:rsid w:val="008454F8"/>
    <w:rsid w:val="0085173A"/>
    <w:rsid w:val="008603CE"/>
    <w:rsid w:val="008619DB"/>
    <w:rsid w:val="008620FC"/>
    <w:rsid w:val="008627A5"/>
    <w:rsid w:val="00863E05"/>
    <w:rsid w:val="008655C4"/>
    <w:rsid w:val="00865ACA"/>
    <w:rsid w:val="00865D28"/>
    <w:rsid w:val="00865F85"/>
    <w:rsid w:val="00867C10"/>
    <w:rsid w:val="00870439"/>
    <w:rsid w:val="00870DA1"/>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62C"/>
    <w:rsid w:val="008A1893"/>
    <w:rsid w:val="008A57E6"/>
    <w:rsid w:val="008A6F81"/>
    <w:rsid w:val="008A769A"/>
    <w:rsid w:val="008B0735"/>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308B"/>
    <w:rsid w:val="008D453D"/>
    <w:rsid w:val="008D53AD"/>
    <w:rsid w:val="008D562B"/>
    <w:rsid w:val="008D5733"/>
    <w:rsid w:val="008D622B"/>
    <w:rsid w:val="008D666C"/>
    <w:rsid w:val="008D7B54"/>
    <w:rsid w:val="008E0C9D"/>
    <w:rsid w:val="008E155C"/>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5727"/>
    <w:rsid w:val="00977010"/>
    <w:rsid w:val="00977D02"/>
    <w:rsid w:val="009809BB"/>
    <w:rsid w:val="0098364B"/>
    <w:rsid w:val="00985C28"/>
    <w:rsid w:val="009911AF"/>
    <w:rsid w:val="00991875"/>
    <w:rsid w:val="00991F92"/>
    <w:rsid w:val="00992985"/>
    <w:rsid w:val="00993889"/>
    <w:rsid w:val="00993DC9"/>
    <w:rsid w:val="0099551B"/>
    <w:rsid w:val="00995946"/>
    <w:rsid w:val="00997BF1"/>
    <w:rsid w:val="009A089C"/>
    <w:rsid w:val="009A118E"/>
    <w:rsid w:val="009A21CD"/>
    <w:rsid w:val="009A2624"/>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51A"/>
    <w:rsid w:val="009D6BCA"/>
    <w:rsid w:val="009E0F62"/>
    <w:rsid w:val="009E4A58"/>
    <w:rsid w:val="009E5A2D"/>
    <w:rsid w:val="009E5AB2"/>
    <w:rsid w:val="009E6219"/>
    <w:rsid w:val="009F03B3"/>
    <w:rsid w:val="009F2505"/>
    <w:rsid w:val="00A0096C"/>
    <w:rsid w:val="00A01757"/>
    <w:rsid w:val="00A028C0"/>
    <w:rsid w:val="00A02BAE"/>
    <w:rsid w:val="00A06A6B"/>
    <w:rsid w:val="00A07A8E"/>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CEC"/>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3240"/>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69C"/>
    <w:rsid w:val="00AE37E5"/>
    <w:rsid w:val="00AE5EB4"/>
    <w:rsid w:val="00AF0C18"/>
    <w:rsid w:val="00AF47C5"/>
    <w:rsid w:val="00AF5398"/>
    <w:rsid w:val="00B020E6"/>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57E55"/>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30B8"/>
    <w:rsid w:val="00BE5B52"/>
    <w:rsid w:val="00BE7B8D"/>
    <w:rsid w:val="00BF0993"/>
    <w:rsid w:val="00BF10A9"/>
    <w:rsid w:val="00BF1703"/>
    <w:rsid w:val="00BF231C"/>
    <w:rsid w:val="00BF51E5"/>
    <w:rsid w:val="00BF74A6"/>
    <w:rsid w:val="00C013AD"/>
    <w:rsid w:val="00C04904"/>
    <w:rsid w:val="00C04C52"/>
    <w:rsid w:val="00C056B3"/>
    <w:rsid w:val="00C103E5"/>
    <w:rsid w:val="00C1144C"/>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0A3C"/>
    <w:rsid w:val="00C6329F"/>
    <w:rsid w:val="00C63340"/>
    <w:rsid w:val="00C643F9"/>
    <w:rsid w:val="00C64E95"/>
    <w:rsid w:val="00C71372"/>
    <w:rsid w:val="00C72410"/>
    <w:rsid w:val="00C7287F"/>
    <w:rsid w:val="00C80A00"/>
    <w:rsid w:val="00C80CB8"/>
    <w:rsid w:val="00C819F8"/>
    <w:rsid w:val="00C8248C"/>
    <w:rsid w:val="00C84E33"/>
    <w:rsid w:val="00C86D6F"/>
    <w:rsid w:val="00C905FC"/>
    <w:rsid w:val="00C92D03"/>
    <w:rsid w:val="00C9319C"/>
    <w:rsid w:val="00C9435D"/>
    <w:rsid w:val="00C94DF2"/>
    <w:rsid w:val="00C96741"/>
    <w:rsid w:val="00CA2D1B"/>
    <w:rsid w:val="00CA375D"/>
    <w:rsid w:val="00CA3785"/>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13F5"/>
    <w:rsid w:val="00D66846"/>
    <w:rsid w:val="00D675FB"/>
    <w:rsid w:val="00D71F25"/>
    <w:rsid w:val="00D72A9C"/>
    <w:rsid w:val="00D77031"/>
    <w:rsid w:val="00D84941"/>
    <w:rsid w:val="00D84FA1"/>
    <w:rsid w:val="00D851F0"/>
    <w:rsid w:val="00D86DB7"/>
    <w:rsid w:val="00D926D0"/>
    <w:rsid w:val="00D92D86"/>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4CEC"/>
    <w:rsid w:val="00E35D1E"/>
    <w:rsid w:val="00E364F9"/>
    <w:rsid w:val="00E365FA"/>
    <w:rsid w:val="00E36789"/>
    <w:rsid w:val="00E37AE5"/>
    <w:rsid w:val="00E44A83"/>
    <w:rsid w:val="00E502C1"/>
    <w:rsid w:val="00E502DD"/>
    <w:rsid w:val="00E50D3A"/>
    <w:rsid w:val="00E51387"/>
    <w:rsid w:val="00E51E68"/>
    <w:rsid w:val="00E52EFD"/>
    <w:rsid w:val="00E5408A"/>
    <w:rsid w:val="00E55B5B"/>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00E4"/>
    <w:rsid w:val="00EA58D1"/>
    <w:rsid w:val="00EA61BC"/>
    <w:rsid w:val="00EA681A"/>
    <w:rsid w:val="00EA735B"/>
    <w:rsid w:val="00EB1E69"/>
    <w:rsid w:val="00EB2086"/>
    <w:rsid w:val="00EB5EDF"/>
    <w:rsid w:val="00EB60FE"/>
    <w:rsid w:val="00EB74DB"/>
    <w:rsid w:val="00EC2C59"/>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63B"/>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22034A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unhideWhenUsed="0" w:uiPriority="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uiPriority w:val="39"/>
    <w:rPr>
      <w:rFonts w:ascii="宋体"/>
    </w:rPr>
  </w:style>
  <w:style w:type="paragraph" w:styleId="20">
    <w:name w:val="toc 4"/>
    <w:basedOn w:val="1"/>
    <w:next w:val="1"/>
    <w:autoRedefine/>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autoRedefine/>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字符"/>
    <w:link w:val="2"/>
    <w:qFormat/>
    <w:uiPriority w:val="0"/>
    <w:rPr>
      <w:rFonts w:ascii="Times New Roman" w:hAnsi="Times New Roman" w:eastAsia="宋体" w:cs="Times New Roman"/>
      <w:b/>
      <w:bCs/>
      <w:kern w:val="44"/>
      <w:sz w:val="44"/>
      <w:szCs w:val="44"/>
    </w:rPr>
  </w:style>
  <w:style w:type="character" w:customStyle="1" w:styleId="35">
    <w:name w:val="标题 2 字符"/>
    <w:link w:val="3"/>
    <w:qFormat/>
    <w:uiPriority w:val="0"/>
    <w:rPr>
      <w:rFonts w:ascii="Arial" w:hAnsi="Arial" w:eastAsia="黑体" w:cs="Times New Roman"/>
      <w:b/>
      <w:bCs/>
      <w:sz w:val="32"/>
      <w:szCs w:val="32"/>
    </w:rPr>
  </w:style>
  <w:style w:type="character" w:customStyle="1" w:styleId="36">
    <w:name w:val="标题 3 字符"/>
    <w:link w:val="4"/>
    <w:qFormat/>
    <w:uiPriority w:val="0"/>
    <w:rPr>
      <w:rFonts w:ascii="Times New Roman" w:hAnsi="Times New Roman" w:eastAsia="宋体" w:cs="Times New Roman"/>
      <w:b/>
      <w:bCs/>
      <w:sz w:val="32"/>
      <w:szCs w:val="32"/>
    </w:rPr>
  </w:style>
  <w:style w:type="character" w:customStyle="1" w:styleId="37">
    <w:name w:val="标题 4 字符"/>
    <w:link w:val="5"/>
    <w:qFormat/>
    <w:uiPriority w:val="0"/>
    <w:rPr>
      <w:rFonts w:ascii="Arial" w:hAnsi="Arial" w:eastAsia="黑体" w:cs="Times New Roman"/>
      <w:b/>
      <w:bCs/>
      <w:sz w:val="28"/>
      <w:szCs w:val="28"/>
    </w:rPr>
  </w:style>
  <w:style w:type="character" w:customStyle="1" w:styleId="38">
    <w:name w:val="标题 5 字符"/>
    <w:link w:val="6"/>
    <w:qFormat/>
    <w:uiPriority w:val="0"/>
    <w:rPr>
      <w:rFonts w:ascii="Times New Roman" w:hAnsi="Times New Roman" w:eastAsia="宋体" w:cs="Times New Roman"/>
      <w:b/>
      <w:bCs/>
      <w:sz w:val="28"/>
      <w:szCs w:val="28"/>
    </w:rPr>
  </w:style>
  <w:style w:type="character" w:customStyle="1" w:styleId="39">
    <w:name w:val="标题 6 字符"/>
    <w:link w:val="7"/>
    <w:qFormat/>
    <w:uiPriority w:val="0"/>
    <w:rPr>
      <w:rFonts w:ascii="Arial" w:hAnsi="Arial" w:eastAsia="黑体" w:cs="Times New Roman"/>
      <w:b/>
      <w:bCs/>
      <w:sz w:val="24"/>
      <w:szCs w:val="24"/>
    </w:rPr>
  </w:style>
  <w:style w:type="character" w:customStyle="1" w:styleId="40">
    <w:name w:val="标题 7 字符"/>
    <w:link w:val="8"/>
    <w:uiPriority w:val="0"/>
    <w:rPr>
      <w:rFonts w:ascii="Times New Roman" w:hAnsi="Times New Roman" w:eastAsia="宋体" w:cs="Times New Roman"/>
      <w:b/>
      <w:bCs/>
      <w:sz w:val="24"/>
      <w:szCs w:val="24"/>
    </w:rPr>
  </w:style>
  <w:style w:type="character" w:customStyle="1" w:styleId="41">
    <w:name w:val="标题 8 字符"/>
    <w:link w:val="9"/>
    <w:qFormat/>
    <w:uiPriority w:val="0"/>
    <w:rPr>
      <w:rFonts w:ascii="Arial" w:hAnsi="Arial" w:eastAsia="黑体" w:cs="Times New Roman"/>
      <w:sz w:val="24"/>
      <w:szCs w:val="24"/>
    </w:rPr>
  </w:style>
  <w:style w:type="character" w:customStyle="1" w:styleId="42">
    <w:name w:val="标题 9 字符"/>
    <w:link w:val="10"/>
    <w:qFormat/>
    <w:uiPriority w:val="0"/>
    <w:rPr>
      <w:rFonts w:ascii="Arial" w:hAnsi="Arial" w:eastAsia="黑体" w:cs="Times New Roman"/>
      <w:szCs w:val="21"/>
    </w:rPr>
  </w:style>
  <w:style w:type="character" w:customStyle="1" w:styleId="43">
    <w:name w:val="页眉 字符"/>
    <w:link w:val="18"/>
    <w:uiPriority w:val="99"/>
    <w:rPr>
      <w:rFonts w:ascii="Times New Roman" w:hAnsi="Times New Roman" w:eastAsia="宋体" w:cs="Times New Roman"/>
      <w:sz w:val="18"/>
      <w:szCs w:val="18"/>
    </w:rPr>
  </w:style>
  <w:style w:type="character" w:customStyle="1" w:styleId="44">
    <w:name w:val="页脚 字符"/>
    <w:link w:val="17"/>
    <w:uiPriority w:val="99"/>
    <w:rPr>
      <w:rFonts w:ascii="宋体" w:hAnsi="Times New Roman" w:eastAsia="宋体" w:cs="Times New Roman"/>
      <w:sz w:val="18"/>
      <w:szCs w:val="18"/>
    </w:rPr>
  </w:style>
  <w:style w:type="character" w:customStyle="1" w:styleId="45">
    <w:name w:val="批注框文本 字符"/>
    <w:link w:val="16"/>
    <w:semiHidden/>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uiPriority w:val="29"/>
    <w:rPr>
      <w:i/>
      <w:iCs/>
      <w:color w:val="000000"/>
    </w:rPr>
  </w:style>
  <w:style w:type="character" w:customStyle="1" w:styleId="48">
    <w:name w:val="标题 字符"/>
    <w:link w:val="25"/>
    <w:qFormat/>
    <w:uiPriority w:val="0"/>
    <w:rPr>
      <w:rFonts w:ascii="Arial" w:hAnsi="Arial" w:eastAsia="宋体" w:cs="Arial"/>
      <w:b/>
      <w:bCs/>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uiPriority w:val="0"/>
    <w:pPr>
      <w:jc w:val="left"/>
    </w:pPr>
  </w:style>
  <w:style w:type="paragraph" w:customStyle="1" w:styleId="63">
    <w:name w:val="标准文件_参考文献标题"/>
    <w:basedOn w:val="1"/>
    <w:next w:val="1"/>
    <w:uiPriority w:val="0"/>
    <w:pPr>
      <w:widowControl/>
      <w:shd w:val="clear" w:color="FFFFFF" w:fill="FFFFFF"/>
      <w:adjustRightInd/>
      <w:spacing w:before="480" w:after="5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uiPriority w:val="0"/>
    <w:pPr>
      <w:numPr>
        <w:ilvl w:val="0"/>
        <w:numId w:val="3"/>
      </w:numPr>
      <w:ind w:firstLine="0" w:firstLineChars="0"/>
    </w:pPr>
  </w:style>
  <w:style w:type="paragraph" w:customStyle="1" w:styleId="68">
    <w:name w:val="标准文件_封面标准编号"/>
    <w:basedOn w:val="1"/>
    <w:next w:val="59"/>
    <w:uiPriority w:val="0"/>
    <w:pPr>
      <w:spacing w:line="310" w:lineRule="exact"/>
      <w:jc w:val="right"/>
    </w:pPr>
    <w:rPr>
      <w:rFonts w:ascii="黑体" w:eastAsia="黑体"/>
      <w:kern w:val="0"/>
      <w:sz w:val="28"/>
    </w:rPr>
  </w:style>
  <w:style w:type="paragraph" w:customStyle="1" w:styleId="69">
    <w:name w:val="标准文件_封面标准分类号"/>
    <w:basedOn w:val="1"/>
    <w:uiPriority w:val="0"/>
    <w:rPr>
      <w:rFonts w:ascii="黑体" w:eastAsia="黑体"/>
      <w:b/>
      <w:kern w:val="0"/>
      <w:sz w:val="28"/>
    </w:rPr>
  </w:style>
  <w:style w:type="paragraph" w:customStyle="1" w:styleId="70">
    <w:name w:val="标准文件_封面标准名称"/>
    <w:basedOn w:val="1"/>
    <w:uiPriority w:val="0"/>
    <w:pPr>
      <w:spacing w:line="240" w:lineRule="auto"/>
      <w:jc w:val="center"/>
    </w:pPr>
    <w:rPr>
      <w:rFonts w:ascii="黑体" w:eastAsia="黑体"/>
      <w:kern w:val="0"/>
      <w:sz w:val="52"/>
    </w:rPr>
  </w:style>
  <w:style w:type="paragraph" w:customStyle="1" w:styleId="71">
    <w:name w:val="标准文件_封面标准英文名称"/>
    <w:basedOn w:val="1"/>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uiPriority w:val="0"/>
    <w:pPr>
      <w:spacing w:line="310" w:lineRule="exact"/>
      <w:jc w:val="right"/>
    </w:pPr>
    <w:rPr>
      <w:rFonts w:ascii="黑体" w:eastAsia="黑体"/>
      <w:sz w:val="28"/>
    </w:rPr>
  </w:style>
  <w:style w:type="paragraph" w:customStyle="1" w:styleId="75">
    <w:name w:val="标准文件_封面抬头"/>
    <w:basedOn w:val="56"/>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uiPriority w:val="0"/>
    <w:rPr>
      <w:rFonts w:ascii="Times New Roman" w:hAnsi="Times New Roman" w:eastAsia="宋体" w:cs="Times New Roman"/>
      <w:szCs w:val="20"/>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before="480"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pPr>
  </w:style>
  <w:style w:type="paragraph" w:customStyle="1" w:styleId="91">
    <w:name w:val="标准文件_目录标题"/>
    <w:basedOn w:val="1"/>
    <w:uiPriority w:val="0"/>
    <w:pPr>
      <w:spacing w:before="480" w:after="15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ind w:left="0" w:firstLine="200"/>
    </w:pPr>
  </w:style>
  <w:style w:type="paragraph" w:customStyle="1" w:styleId="94">
    <w:name w:val="标准文件_三级条标题"/>
    <w:basedOn w:val="65"/>
    <w:next w:val="56"/>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uiPriority w:val="0"/>
    <w:rPr>
      <w:rFonts w:ascii="宋体" w:hAnsi="Times New Roman" w:eastAsia="宋体" w:cs="Times New Roman"/>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0"/>
    <w:pPr>
      <w:numPr>
        <w:ilvl w:val="2"/>
      </w:numPr>
      <w:spacing w:before="50" w:beforeLines="50" w:after="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uiPriority w:val="0"/>
    <w:pPr>
      <w:adjustRightInd/>
      <w:spacing w:line="240" w:lineRule="auto"/>
      <w:jc w:val="left"/>
    </w:pPr>
    <w:rPr>
      <w:bCs/>
      <w:iCs/>
    </w:rPr>
  </w:style>
  <w:style w:type="paragraph" w:customStyle="1" w:styleId="143">
    <w:name w:val="目录 31"/>
    <w:basedOn w:val="1"/>
    <w:next w:val="1"/>
    <w:autoRedefine/>
    <w:semiHidden/>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uiPriority w:val="0"/>
    <w:pPr>
      <w:spacing w:line="240" w:lineRule="auto"/>
    </w:pPr>
    <w:rPr>
      <w:rFonts w:ascii="宋体" w:hAnsi="宋体"/>
    </w:rPr>
  </w:style>
  <w:style w:type="paragraph" w:customStyle="1" w:styleId="146">
    <w:name w:val="目录 61"/>
    <w:basedOn w:val="1"/>
    <w:next w:val="1"/>
    <w:autoRedefine/>
    <w:semiHidden/>
    <w:uiPriority w:val="0"/>
    <w:pPr>
      <w:adjustRightInd/>
      <w:spacing w:line="240" w:lineRule="auto"/>
      <w:jc w:val="left"/>
    </w:pPr>
  </w:style>
  <w:style w:type="paragraph" w:customStyle="1" w:styleId="147">
    <w:name w:val="目录 71"/>
    <w:basedOn w:val="146"/>
    <w:autoRedefine/>
    <w:semiHidden/>
    <w:uiPriority w:val="0"/>
    <w:pPr>
      <w:ind w:left="1260"/>
    </w:pPr>
  </w:style>
  <w:style w:type="paragraph" w:customStyle="1" w:styleId="148">
    <w:name w:val="目录 81"/>
    <w:basedOn w:val="147"/>
    <w:autoRedefine/>
    <w:semiHidden/>
    <w:uiPriority w:val="0"/>
    <w:pPr>
      <w:ind w:left="1470"/>
    </w:pPr>
  </w:style>
  <w:style w:type="paragraph" w:customStyle="1" w:styleId="149">
    <w:name w:val="目录 91"/>
    <w:basedOn w:val="148"/>
    <w:autoRedefine/>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glossaryDocument" Target="glossary/document.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2.jpeg"/><Relationship Id="rId20" Type="http://schemas.openxmlformats.org/officeDocument/2006/relationships/image" Target="media/image1.tiff"/><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0225;&#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1560A00ECDF43E1BFE3189C275C2732"/>
        <w:style w:val=""/>
        <w:category>
          <w:name w:val="常规"/>
          <w:gallery w:val="placeholder"/>
        </w:category>
        <w:types>
          <w:type w:val="bbPlcHdr"/>
        </w:types>
        <w:behaviors>
          <w:behavior w:val="content"/>
        </w:behaviors>
        <w:description w:val=""/>
        <w:guid w:val="{AE5C32D2-6F32-4C3D-A324-BFDEDE7CA958}"/>
      </w:docPartPr>
      <w:docPartBody>
        <w:p w14:paraId="753F61AC">
          <w:pPr>
            <w:pStyle w:val="5"/>
          </w:pPr>
          <w:r>
            <w:rPr>
              <w:rStyle w:val="4"/>
              <w:rFonts w:hint="eastAsia"/>
            </w:rPr>
            <w:t>单击或点击此处输入文字。</w:t>
          </w:r>
        </w:p>
      </w:docPartBody>
    </w:docPart>
    <w:docPart>
      <w:docPartPr>
        <w:name w:val="82845FE6394148DDB6BFB592495F490D"/>
        <w:style w:val=""/>
        <w:category>
          <w:name w:val="常规"/>
          <w:gallery w:val="placeholder"/>
        </w:category>
        <w:types>
          <w:type w:val="bbPlcHdr"/>
        </w:types>
        <w:behaviors>
          <w:behavior w:val="content"/>
        </w:behaviors>
        <w:description w:val=""/>
        <w:guid w:val="{56E09D58-DD21-4CA1-996B-CFFD3FF6C257}"/>
      </w:docPartPr>
      <w:docPartBody>
        <w:p w14:paraId="32BDFA14">
          <w:pPr>
            <w:pStyle w:val="6"/>
          </w:pPr>
          <w:r>
            <w:rPr>
              <w:rStyle w:val="4"/>
              <w:rFonts w:hint="eastAsia"/>
            </w:rPr>
            <w:t>选择一项。</w:t>
          </w:r>
        </w:p>
      </w:docPartBody>
    </w:docPart>
    <w:docPart>
      <w:docPartPr>
        <w:name w:val="BBB76FB043A848B88D5901347ECF0CD9"/>
        <w:style w:val=""/>
        <w:category>
          <w:name w:val="常规"/>
          <w:gallery w:val="placeholder"/>
        </w:category>
        <w:types>
          <w:type w:val="bbPlcHdr"/>
        </w:types>
        <w:behaviors>
          <w:behavior w:val="content"/>
        </w:behaviors>
        <w:description w:val=""/>
        <w:guid w:val="{F587ABB2-230C-4C9E-A206-45C2F6F48D32}"/>
      </w:docPartPr>
      <w:docPartBody>
        <w:p w14:paraId="5BA6C25C">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5120"/>
    <w:rsid w:val="00185120"/>
    <w:rsid w:val="00454DD9"/>
    <w:rsid w:val="00647C40"/>
    <w:rsid w:val="00862020"/>
    <w:rsid w:val="00C35EAC"/>
    <w:rsid w:val="00CC39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D1560A00ECDF43E1BFE3189C275C2732"/>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82845FE6394148DDB6BFB592495F490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BB76FB043A848B88D5901347ECF0CD9"/>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EBB420-4788-4246-A068-90FED23A5E71}">
  <ds:schemaRefs/>
</ds:datastoreItem>
</file>

<file path=docProps/app.xml><?xml version="1.0" encoding="utf-8"?>
<Properties xmlns="http://schemas.openxmlformats.org/officeDocument/2006/extended-properties" xmlns:vt="http://schemas.openxmlformats.org/officeDocument/2006/docPropsVTypes">
  <Template>企业标准</Template>
  <Company>PCMI</Company>
  <Pages>6</Pages>
  <Words>840</Words>
  <Characters>879</Characters>
  <Lines>8</Lines>
  <Paragraphs>2</Paragraphs>
  <TotalTime>10</TotalTime>
  <ScaleCrop>false</ScaleCrop>
  <LinksUpToDate>false</LinksUpToDate>
  <CharactersWithSpaces>894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2025-01-07T05:31:00Z</dcterms:created>
  <dc:creator>举个栗子☝</dc:creator>
  <dc:description>&lt;config cover="true" show_menu="true" version="1.0.0" doctype="SDKXY"&gt;_x000d_
&lt;/config&gt;</dc:description>
  <cp:lastModifiedBy>为你存在</cp:lastModifiedBy>
  <cp:lastPrinted>2020-08-30T10:00:00Z</cp:lastPrinted>
  <dcterms:modified xsi:type="dcterms:W3CDTF">2025-02-06T08:15:18Z</dcterms:modified>
  <dc:title>企业标准</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eyJoZGlkIjoiNmQ0NzhhMjIyNjRiNGExMTAxNTkwOTI1ZmYyZGUxMjMiLCJ1c2VySWQiOiI0NTgyNTk2NzEifQ==</vt:lpwstr>
  </property>
  <property fmtid="{D5CDD505-2E9C-101B-9397-08002B2CF9AE}" pid="16" name="KSOProductBuildVer">
    <vt:lpwstr>2052-12.1.0.19770</vt:lpwstr>
  </property>
  <property fmtid="{D5CDD505-2E9C-101B-9397-08002B2CF9AE}" pid="17" name="ICV">
    <vt:lpwstr>51A6DB5D0E904405958FC51DC83241FC_12</vt:lpwstr>
  </property>
</Properties>
</file>