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180B2A8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16C0511">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XCGZJ</w:t>
            </w:r>
            <w:r>
              <w:fldChar w:fldCharType="end"/>
            </w:r>
            <w:bookmarkEnd w:id="1"/>
          </w:p>
        </w:tc>
      </w:tr>
    </w:tbl>
    <w:p w14:paraId="7F6A5BB8">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2E4D9F46">
      <w:pPr>
        <w:pStyle w:val="196"/>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XCGZJ</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72E41CF7">
      <w:pPr>
        <w:pStyle w:val="197"/>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3438161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B40243">
      <w:pPr>
        <w:pStyle w:val="51"/>
        <w:framePr w:w="9639" w:h="6976" w:hRule="exact" w:hSpace="0" w:vSpace="0" w:wrap="around" w:hAnchor="page" w:y="6408"/>
        <w:jc w:val="center"/>
        <w:rPr>
          <w:rFonts w:ascii="黑体" w:hAnsi="黑体" w:eastAsia="黑体"/>
          <w:b w:val="0"/>
          <w:bCs w:val="0"/>
          <w:w w:val="100"/>
        </w:rPr>
      </w:pPr>
    </w:p>
    <w:p w14:paraId="22C7ADFE">
      <w:pPr>
        <w:pStyle w:val="198"/>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公告发布规范</w:t>
      </w:r>
      <w:r>
        <w:fldChar w:fldCharType="end"/>
      </w:r>
      <w:bookmarkEnd w:id="7"/>
    </w:p>
    <w:p w14:paraId="616AA118">
      <w:pPr>
        <w:framePr w:w="9639" w:h="6974" w:hRule="exact" w:wrap="around" w:vAnchor="page" w:hAnchor="page" w:x="1419" w:y="6408" w:anchorLock="1"/>
        <w:ind w:left="-1418"/>
      </w:pPr>
    </w:p>
    <w:p w14:paraId="52B2FBEC">
      <w:pPr>
        <w:framePr w:w="9639" w:h="6974" w:hRule="exact" w:wrap="around" w:vAnchor="page" w:hAnchor="page" w:x="1419" w:y="6408" w:anchorLock="1"/>
        <w:spacing w:line="760" w:lineRule="exact"/>
        <w:ind w:left="-1418"/>
      </w:pPr>
    </w:p>
    <w:p w14:paraId="37775D48">
      <w:pPr>
        <w:pStyle w:val="126"/>
        <w:framePr w:w="9639" w:h="6974" w:hRule="exact" w:wrap="around" w:vAnchor="page" w:hAnchor="page" w:x="1419" w:y="6408" w:anchorLock="1"/>
        <w:textAlignment w:val="bottom"/>
        <w:rPr>
          <w:rFonts w:eastAsia="黑体"/>
          <w:szCs w:val="28"/>
        </w:rPr>
      </w:pPr>
    </w:p>
    <w:p w14:paraId="7942771B">
      <w:pPr>
        <w:pStyle w:val="126"/>
        <w:framePr w:w="9639" w:h="6974" w:hRule="exact" w:wrap="around" w:vAnchor="page" w:hAnchor="page" w:x="1419" w:y="6408" w:anchorLock="1"/>
        <w:spacing w:before="440" w:after="160"/>
        <w:textAlignment w:val="bottom"/>
        <w:rPr>
          <w:sz w:val="24"/>
          <w:szCs w:val="28"/>
        </w:rPr>
      </w:pPr>
    </w:p>
    <w:p w14:paraId="05E052DA">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09D73B68">
      <w:pPr>
        <w:pStyle w:val="194"/>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210EBFD4">
      <w:pPr>
        <w:pStyle w:val="195"/>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4DE1E096">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7B5EB0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EEC095E">
      <w:pPr>
        <w:pStyle w:val="90"/>
        <w:spacing w:after="468"/>
      </w:pPr>
      <w:bookmarkStart w:id="15" w:name="BookMark2"/>
      <w:r>
        <w:rPr>
          <w:spacing w:val="320"/>
        </w:rPr>
        <w:t>前</w:t>
      </w:r>
      <w:r>
        <w:t>言</w:t>
      </w:r>
    </w:p>
    <w:p w14:paraId="003042EE">
      <w:pPr>
        <w:pStyle w:val="57"/>
        <w:ind w:firstLine="420"/>
      </w:pPr>
      <w:r>
        <w:rPr>
          <w:rFonts w:hint="eastAsia"/>
        </w:rPr>
        <w:t>本文件按照GB/T 1.1—2020《标准化工作导则  第1部分：标准化文件的结构和起草规则》的规定起草。</w:t>
      </w:r>
    </w:p>
    <w:p w14:paraId="56844787">
      <w:pPr>
        <w:pStyle w:val="57"/>
        <w:ind w:firstLine="420"/>
      </w:pPr>
      <w:r>
        <w:rPr>
          <w:rFonts w:hint="eastAsia"/>
        </w:rPr>
        <w:t>本文件由本文件由宣城市公共资源交易中心提出并归口。</w:t>
      </w:r>
    </w:p>
    <w:p w14:paraId="2BB8E02F">
      <w:pPr>
        <w:pStyle w:val="57"/>
        <w:ind w:firstLine="420"/>
      </w:pPr>
      <w:r>
        <w:rPr>
          <w:rFonts w:hint="eastAsia"/>
        </w:rPr>
        <w:t>本文件起草单位：宣城市公共资源交易中心。</w:t>
      </w:r>
    </w:p>
    <w:p w14:paraId="6E7D40A4">
      <w:pPr>
        <w:pStyle w:val="57"/>
        <w:ind w:firstLine="420"/>
      </w:pPr>
      <w:r>
        <w:rPr>
          <w:rFonts w:hint="eastAsia"/>
        </w:rPr>
        <w:t>本文件主要起草人：××××。</w:t>
      </w:r>
    </w:p>
    <w:p w14:paraId="5625BE0D">
      <w:pPr>
        <w:pStyle w:val="57"/>
        <w:ind w:firstLine="420"/>
      </w:pPr>
    </w:p>
    <w:p w14:paraId="09EC3FB5">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6559687B">
      <w:pPr>
        <w:spacing w:line="20" w:lineRule="exact"/>
        <w:jc w:val="center"/>
        <w:rPr>
          <w:rFonts w:ascii="黑体" w:hAnsi="黑体" w:eastAsia="黑体"/>
          <w:sz w:val="32"/>
          <w:szCs w:val="32"/>
        </w:rPr>
      </w:pPr>
      <w:bookmarkStart w:id="16" w:name="BookMark4"/>
    </w:p>
    <w:p w14:paraId="320A2D99">
      <w:pPr>
        <w:spacing w:line="20" w:lineRule="exact"/>
        <w:jc w:val="center"/>
        <w:rPr>
          <w:rFonts w:ascii="黑体" w:hAnsi="黑体" w:eastAsia="黑体"/>
          <w:sz w:val="32"/>
          <w:szCs w:val="32"/>
        </w:rPr>
      </w:pPr>
    </w:p>
    <w:sdt>
      <w:sdtPr>
        <w:tag w:val="NEW_STAND_NAME"/>
        <w:id w:val="595910757"/>
        <w:lock w:val="sdtLocked"/>
        <w:placeholder>
          <w:docPart w:val="D308A39928F340459C18AD6FBC467BB5"/>
        </w:placeholder>
      </w:sdtPr>
      <w:sdtEndPr>
        <w:rPr>
          <w:color w:val="auto"/>
          <w:highlight w:val="none"/>
        </w:rPr>
      </w:sdtEndPr>
      <w:sdtContent>
        <w:p w14:paraId="4B840FA3">
          <w:pPr>
            <w:pStyle w:val="178"/>
            <w:spacing w:before="312" w:beforeLines="100" w:after="686" w:afterLines="220"/>
            <w:rPr>
              <w:rFonts w:ascii="Calibri" w:hAnsi="Calibri" w:eastAsia="宋体"/>
              <w:color w:val="auto"/>
              <w:highlight w:val="none"/>
            </w:rPr>
          </w:pPr>
          <w:bookmarkStart w:id="17" w:name="NEW_STAND_NAME"/>
          <w:bookmarkStart w:id="40" w:name="_GoBack"/>
          <w:r>
            <w:rPr>
              <w:rFonts w:hint="eastAsia"/>
              <w:color w:val="auto"/>
              <w:highlight w:val="none"/>
            </w:rPr>
            <w:t>公告发布规范</w:t>
          </w:r>
        </w:p>
      </w:sdtContent>
    </w:sdt>
    <w:bookmarkEnd w:id="17"/>
    <w:p w14:paraId="2458BDE1">
      <w:pPr>
        <w:pStyle w:val="105"/>
        <w:spacing w:before="312" w:after="312"/>
        <w:rPr>
          <w:color w:val="auto"/>
          <w:highlight w:val="none"/>
        </w:rPr>
      </w:pPr>
      <w:bookmarkStart w:id="18" w:name="_Toc24884218"/>
      <w:bookmarkStart w:id="19" w:name="_Toc98918883"/>
      <w:bookmarkStart w:id="20" w:name="_Toc26986530"/>
      <w:bookmarkStart w:id="21" w:name="_Toc26986771"/>
      <w:bookmarkStart w:id="22" w:name="_Toc17233325"/>
      <w:bookmarkStart w:id="23" w:name="_Toc24884211"/>
      <w:bookmarkStart w:id="24" w:name="_Toc17233333"/>
      <w:bookmarkStart w:id="25" w:name="_Toc26718930"/>
      <w:bookmarkStart w:id="26" w:name="_Toc26648465"/>
      <w:r>
        <w:rPr>
          <w:rFonts w:hint="eastAsia"/>
          <w:color w:val="auto"/>
          <w:highlight w:val="none"/>
        </w:rPr>
        <w:t>范围</w:t>
      </w:r>
      <w:bookmarkEnd w:id="18"/>
      <w:bookmarkEnd w:id="19"/>
      <w:bookmarkEnd w:id="20"/>
      <w:bookmarkEnd w:id="21"/>
      <w:bookmarkEnd w:id="22"/>
      <w:bookmarkEnd w:id="23"/>
      <w:bookmarkEnd w:id="24"/>
      <w:bookmarkEnd w:id="25"/>
      <w:bookmarkEnd w:id="26"/>
    </w:p>
    <w:p w14:paraId="7B791629">
      <w:pPr>
        <w:pStyle w:val="57"/>
        <w:ind w:firstLine="420"/>
        <w:rPr>
          <w:color w:val="auto"/>
          <w:highlight w:val="none"/>
        </w:rPr>
      </w:pPr>
      <w:r>
        <w:rPr>
          <w:rFonts w:hint="eastAsia"/>
          <w:color w:val="auto"/>
          <w:highlight w:val="none"/>
        </w:rPr>
        <w:t xml:space="preserve">本文件规定了进入宣城市公共资源交易中心（以下简称“中心”）交易项目公告要求、公告发布流程、公开渠道。 </w:t>
      </w:r>
    </w:p>
    <w:p w14:paraId="6F54104A">
      <w:pPr>
        <w:pStyle w:val="57"/>
        <w:ind w:firstLine="420"/>
        <w:rPr>
          <w:color w:val="auto"/>
          <w:highlight w:val="none"/>
        </w:rPr>
      </w:pPr>
      <w:r>
        <w:rPr>
          <w:rFonts w:hint="eastAsia"/>
          <w:color w:val="auto"/>
          <w:highlight w:val="none"/>
        </w:rPr>
        <w:t>本文件适用于进入中心交易项目的公告发布。</w:t>
      </w:r>
      <w:bookmarkStart w:id="27" w:name="_Toc24884219"/>
      <w:bookmarkStart w:id="28" w:name="_Toc17233334"/>
      <w:bookmarkStart w:id="29" w:name="_Toc26648466"/>
      <w:bookmarkStart w:id="30" w:name="_Toc17233326"/>
      <w:bookmarkStart w:id="31" w:name="_Toc24884212"/>
    </w:p>
    <w:p w14:paraId="0701C838">
      <w:pPr>
        <w:pStyle w:val="105"/>
        <w:spacing w:before="312" w:after="312"/>
        <w:rPr>
          <w:color w:val="auto"/>
          <w:highlight w:val="none"/>
        </w:rPr>
      </w:pPr>
      <w:bookmarkStart w:id="32" w:name="_Toc26718931"/>
      <w:bookmarkStart w:id="33" w:name="_Toc26986772"/>
      <w:bookmarkStart w:id="34" w:name="_Toc98918884"/>
      <w:bookmarkStart w:id="35" w:name="_Toc26986531"/>
      <w:r>
        <w:rPr>
          <w:rFonts w:hint="eastAsia"/>
          <w:color w:val="auto"/>
          <w:highlight w:val="none"/>
        </w:rPr>
        <w:t>规范性引用文件</w:t>
      </w:r>
      <w:bookmarkEnd w:id="27"/>
      <w:bookmarkEnd w:id="28"/>
      <w:bookmarkEnd w:id="29"/>
      <w:bookmarkEnd w:id="30"/>
      <w:bookmarkEnd w:id="31"/>
      <w:bookmarkEnd w:id="32"/>
      <w:bookmarkEnd w:id="33"/>
      <w:bookmarkEnd w:id="34"/>
      <w:bookmarkEnd w:id="35"/>
    </w:p>
    <w:sdt>
      <w:sdtPr>
        <w:rPr>
          <w:rFonts w:hint="eastAsia"/>
          <w:color w:val="auto"/>
          <w:highlight w:val="none"/>
        </w:rPr>
        <w:id w:val="715848253"/>
        <w:placeholder>
          <w:docPart w:val="08A64A7A42C142ABA00458C9C97115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6A6ABE05">
          <w:pPr>
            <w:pStyle w:val="57"/>
            <w:ind w:firstLine="420"/>
            <w:rPr>
              <w:color w:val="auto"/>
              <w:highlight w:val="none"/>
            </w:rPr>
          </w:pPr>
          <w:r>
            <w:rPr>
              <w:rFonts w:hint="eastAsia"/>
              <w:color w:val="auto"/>
              <w:highlight w:val="none"/>
            </w:rPr>
            <w:t>本文件没有规范性引用文件。</w:t>
          </w:r>
        </w:p>
      </w:sdtContent>
    </w:sdt>
    <w:p w14:paraId="1C08B011">
      <w:pPr>
        <w:pStyle w:val="105"/>
        <w:spacing w:before="312" w:after="312"/>
        <w:rPr>
          <w:color w:val="auto"/>
          <w:highlight w:val="none"/>
        </w:rPr>
      </w:pPr>
      <w:bookmarkStart w:id="36" w:name="_Toc98918885"/>
      <w:r>
        <w:rPr>
          <w:rFonts w:hint="eastAsia"/>
          <w:color w:val="auto"/>
          <w:szCs w:val="21"/>
          <w:highlight w:val="none"/>
        </w:rPr>
        <w:t>术语和定义</w:t>
      </w:r>
      <w:bookmarkEnd w:id="36"/>
    </w:p>
    <w:sdt>
      <w:sdtPr>
        <w:rPr>
          <w:color w:val="auto"/>
          <w:highlight w:val="none"/>
        </w:rPr>
        <w:id w:val="-1909835108"/>
        <w:placeholder>
          <w:docPart w:val="EF625BA93022403191303740BC820F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14574562">
          <w:pPr>
            <w:pStyle w:val="57"/>
            <w:ind w:firstLine="420"/>
            <w:rPr>
              <w:color w:val="auto"/>
              <w:highlight w:val="none"/>
            </w:rPr>
          </w:pPr>
          <w:bookmarkStart w:id="37" w:name="_Toc26986532"/>
          <w:bookmarkEnd w:id="37"/>
          <w:r>
            <w:rPr>
              <w:color w:val="auto"/>
              <w:highlight w:val="none"/>
            </w:rPr>
            <w:t>本文件没有需要界定的术语和定义。</w:t>
          </w:r>
        </w:p>
      </w:sdtContent>
    </w:sdt>
    <w:p w14:paraId="730D85D5">
      <w:pPr>
        <w:pStyle w:val="105"/>
        <w:spacing w:before="312" w:after="312"/>
        <w:ind w:left="0"/>
        <w:rPr>
          <w:color w:val="auto"/>
          <w:highlight w:val="none"/>
        </w:rPr>
      </w:pPr>
      <w:r>
        <w:rPr>
          <w:rFonts w:hint="eastAsia"/>
          <w:color w:val="auto"/>
          <w:highlight w:val="none"/>
        </w:rPr>
        <w:t>公告要求</w:t>
      </w:r>
    </w:p>
    <w:p w14:paraId="68D43649">
      <w:pPr>
        <w:pStyle w:val="163"/>
        <w:rPr>
          <w:color w:val="auto"/>
          <w:highlight w:val="none"/>
        </w:rPr>
      </w:pPr>
      <w:r>
        <w:rPr>
          <w:rFonts w:hint="eastAsia"/>
          <w:color w:val="auto"/>
          <w:highlight w:val="none"/>
        </w:rPr>
        <w:t>中心应指导项目实施主体或其委托的代理机构合理使用各类公告示范文本。</w:t>
      </w:r>
    </w:p>
    <w:p w14:paraId="30337CBE">
      <w:pPr>
        <w:pStyle w:val="163"/>
        <w:rPr>
          <w:color w:val="auto"/>
          <w:highlight w:val="none"/>
        </w:rPr>
      </w:pPr>
      <w:r>
        <w:rPr>
          <w:rFonts w:hint="eastAsia"/>
          <w:color w:val="auto"/>
          <w:highlight w:val="none"/>
        </w:rPr>
        <w:t>公告内容应符合附录A的要求。</w:t>
      </w:r>
    </w:p>
    <w:p w14:paraId="42453FEB">
      <w:pPr>
        <w:pStyle w:val="163"/>
        <w:rPr>
          <w:color w:val="auto"/>
          <w:highlight w:val="none"/>
        </w:rPr>
      </w:pPr>
      <w:r>
        <w:rPr>
          <w:rFonts w:hint="eastAsia"/>
          <w:color w:val="auto"/>
          <w:highlight w:val="none"/>
        </w:rPr>
        <w:t>项目实施主体或其委托的代理机构应对公告的合法性、真实性和准确性负责。</w:t>
      </w:r>
    </w:p>
    <w:p w14:paraId="75B1EB5E">
      <w:pPr>
        <w:pStyle w:val="105"/>
        <w:spacing w:before="312" w:after="312"/>
        <w:ind w:left="0"/>
        <w:rPr>
          <w:color w:val="auto"/>
          <w:highlight w:val="none"/>
        </w:rPr>
      </w:pPr>
      <w:r>
        <w:rPr>
          <w:rFonts w:hint="eastAsia"/>
          <w:color w:val="auto"/>
          <w:highlight w:val="none"/>
        </w:rPr>
        <w:t>公告发布流程</w:t>
      </w:r>
    </w:p>
    <w:p w14:paraId="459F5C8D">
      <w:pPr>
        <w:pStyle w:val="163"/>
        <w:rPr>
          <w:color w:val="auto"/>
          <w:highlight w:val="none"/>
        </w:rPr>
      </w:pPr>
      <w:r>
        <w:rPr>
          <w:rFonts w:hint="eastAsia"/>
          <w:color w:val="auto"/>
          <w:highlight w:val="none"/>
        </w:rPr>
        <w:t>协助项目实施主体或其委托的代理机构通过交易系统向服务系统推送公告。</w:t>
      </w:r>
    </w:p>
    <w:p w14:paraId="0DAE5A2D">
      <w:pPr>
        <w:pStyle w:val="163"/>
        <w:rPr>
          <w:color w:val="auto"/>
          <w:highlight w:val="none"/>
        </w:rPr>
      </w:pPr>
      <w:r>
        <w:rPr>
          <w:rFonts w:hint="eastAsia"/>
          <w:color w:val="auto"/>
          <w:highlight w:val="none"/>
        </w:rPr>
        <w:t>中心应对进场项目公告进行发布，发布前查看内容包括：格式规范性、内容完整性。</w:t>
      </w:r>
    </w:p>
    <w:p w14:paraId="74C638BA">
      <w:pPr>
        <w:pStyle w:val="163"/>
        <w:rPr>
          <w:color w:val="auto"/>
          <w:highlight w:val="none"/>
        </w:rPr>
      </w:pPr>
      <w:r>
        <w:rPr>
          <w:rFonts w:hint="eastAsia"/>
          <w:color w:val="auto"/>
          <w:highlight w:val="none"/>
        </w:rPr>
        <w:t>中心业务科室收到项目实施主体或其委托的代理机构推送的公告后，原则上一个工作日内反馈意见，符合要求的推送到中心网站；不符合要求的，予以退回，在中心服务系统中一次性告知不予发布的原因。</w:t>
      </w:r>
    </w:p>
    <w:p w14:paraId="737B233D">
      <w:pPr>
        <w:pStyle w:val="105"/>
        <w:spacing w:before="312" w:after="312"/>
        <w:rPr>
          <w:color w:val="auto"/>
          <w:highlight w:val="none"/>
        </w:rPr>
      </w:pPr>
      <w:r>
        <w:rPr>
          <w:rFonts w:hint="eastAsia"/>
          <w:color w:val="auto"/>
          <w:highlight w:val="none"/>
        </w:rPr>
        <w:t>公开渠道</w:t>
      </w:r>
    </w:p>
    <w:p w14:paraId="5603DC1C">
      <w:pPr>
        <w:pStyle w:val="163"/>
        <w:rPr>
          <w:color w:val="auto"/>
          <w:highlight w:val="none"/>
        </w:rPr>
      </w:pPr>
      <w:r>
        <w:rPr>
          <w:rFonts w:hint="eastAsia"/>
          <w:color w:val="auto"/>
          <w:highlight w:val="none"/>
        </w:rPr>
        <w:t>公告在宣城市公共资源交易中心网公布。</w:t>
      </w:r>
    </w:p>
    <w:p w14:paraId="47F573E1">
      <w:pPr>
        <w:pStyle w:val="163"/>
        <w:rPr>
          <w:color w:val="auto"/>
          <w:highlight w:val="none"/>
        </w:rPr>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titlePg/>
          <w:docGrid w:type="lines" w:linePitch="312" w:charSpace="0"/>
        </w:sectPr>
      </w:pPr>
      <w:r>
        <w:rPr>
          <w:rFonts w:hint="eastAsia"/>
          <w:color w:val="auto"/>
          <w:highlight w:val="none"/>
        </w:rPr>
        <w:t>服务系统同步推送至相关法定媒介。</w:t>
      </w:r>
    </w:p>
    <w:bookmarkEnd w:id="16"/>
    <w:p w14:paraId="01F574AD">
      <w:pPr>
        <w:pStyle w:val="199"/>
        <w:rPr>
          <w:vanish w:val="0"/>
          <w:color w:val="auto"/>
          <w:highlight w:val="none"/>
        </w:rPr>
      </w:pPr>
      <w:bookmarkStart w:id="38" w:name="BookMark5"/>
    </w:p>
    <w:p w14:paraId="4089B856">
      <w:pPr>
        <w:pStyle w:val="200"/>
        <w:rPr>
          <w:vanish w:val="0"/>
          <w:color w:val="auto"/>
          <w:highlight w:val="none"/>
        </w:rPr>
      </w:pPr>
    </w:p>
    <w:p w14:paraId="7E718A84">
      <w:pPr>
        <w:pStyle w:val="77"/>
        <w:spacing w:before="78" w:after="156"/>
        <w:rPr>
          <w:color w:val="auto"/>
          <w:highlight w:val="none"/>
        </w:rPr>
      </w:pPr>
      <w:r>
        <w:rPr>
          <w:color w:val="auto"/>
          <w:highlight w:val="none"/>
        </w:rPr>
        <w:br w:type="textWrapping"/>
      </w:r>
      <w:r>
        <w:rPr>
          <w:rFonts w:hint="eastAsia"/>
          <w:color w:val="auto"/>
          <w:highlight w:val="none"/>
        </w:rPr>
        <w:t>（规范性）</w:t>
      </w:r>
      <w:r>
        <w:rPr>
          <w:color w:val="auto"/>
          <w:highlight w:val="none"/>
        </w:rPr>
        <w:br w:type="textWrapping"/>
      </w:r>
      <w:r>
        <w:rPr>
          <w:rFonts w:hint="eastAsia"/>
          <w:color w:val="auto"/>
          <w:highlight w:val="none"/>
        </w:rPr>
        <w:t>公告内容</w:t>
      </w:r>
    </w:p>
    <w:p w14:paraId="64DBE189">
      <w:pPr>
        <w:pStyle w:val="212"/>
        <w:rPr>
          <w:color w:val="auto"/>
          <w:highlight w:val="none"/>
        </w:rPr>
      </w:pPr>
      <w:r>
        <w:rPr>
          <w:rFonts w:hint="eastAsia"/>
          <w:color w:val="auto"/>
          <w:highlight w:val="none"/>
        </w:rPr>
        <w:t>项目实施主体或其委托的代理机构在发布的公告内容应完整。</w:t>
      </w:r>
    </w:p>
    <w:p w14:paraId="62684113">
      <w:pPr>
        <w:pStyle w:val="212"/>
        <w:rPr>
          <w:color w:val="auto"/>
          <w:highlight w:val="none"/>
        </w:rPr>
      </w:pPr>
      <w:r>
        <w:rPr>
          <w:rFonts w:hint="eastAsia"/>
          <w:color w:val="auto"/>
          <w:highlight w:val="none"/>
        </w:rPr>
        <w:t>工程建设类项目应包含：</w:t>
      </w:r>
    </w:p>
    <w:p w14:paraId="54955CDA">
      <w:pPr>
        <w:pStyle w:val="133"/>
        <w:rPr>
          <w:color w:val="auto"/>
          <w:highlight w:val="none"/>
        </w:rPr>
      </w:pPr>
      <w:r>
        <w:rPr>
          <w:rFonts w:hint="eastAsia"/>
          <w:color w:val="auto"/>
          <w:highlight w:val="none"/>
        </w:rPr>
        <w:t>招标人名称、地址、联系人和联系方式；</w:t>
      </w:r>
    </w:p>
    <w:p w14:paraId="01180711">
      <w:pPr>
        <w:pStyle w:val="133"/>
        <w:rPr>
          <w:color w:val="auto"/>
          <w:highlight w:val="none"/>
        </w:rPr>
      </w:pPr>
      <w:r>
        <w:rPr>
          <w:rFonts w:hint="eastAsia"/>
          <w:color w:val="auto"/>
          <w:highlight w:val="none"/>
        </w:rPr>
        <w:t>招标代理机构名称、地址、联系人和联系方式；</w:t>
      </w:r>
    </w:p>
    <w:p w14:paraId="11D3D1EC">
      <w:pPr>
        <w:pStyle w:val="133"/>
        <w:rPr>
          <w:color w:val="auto"/>
          <w:highlight w:val="none"/>
        </w:rPr>
      </w:pPr>
      <w:r>
        <w:rPr>
          <w:rFonts w:hint="eastAsia"/>
          <w:color w:val="auto"/>
          <w:highlight w:val="none"/>
        </w:rPr>
        <w:t>招标项目名称、内容范围、规模、资金来源；</w:t>
      </w:r>
    </w:p>
    <w:p w14:paraId="06290DCD">
      <w:pPr>
        <w:pStyle w:val="133"/>
        <w:rPr>
          <w:color w:val="auto"/>
          <w:highlight w:val="none"/>
        </w:rPr>
      </w:pPr>
      <w:r>
        <w:rPr>
          <w:rFonts w:hint="eastAsia"/>
          <w:color w:val="auto"/>
          <w:highlight w:val="none"/>
        </w:rPr>
        <w:t>投标条件和要求，以及是否接受联合体投标；</w:t>
      </w:r>
    </w:p>
    <w:p w14:paraId="70031FE3">
      <w:pPr>
        <w:pStyle w:val="133"/>
        <w:rPr>
          <w:color w:val="auto"/>
          <w:highlight w:val="none"/>
        </w:rPr>
      </w:pPr>
      <w:r>
        <w:rPr>
          <w:rFonts w:hint="eastAsia"/>
          <w:color w:val="auto"/>
          <w:highlight w:val="none"/>
        </w:rPr>
        <w:t>获取招标文件的时间、地点、方式；</w:t>
      </w:r>
    </w:p>
    <w:p w14:paraId="42EB48AE">
      <w:pPr>
        <w:pStyle w:val="133"/>
        <w:rPr>
          <w:color w:val="auto"/>
          <w:highlight w:val="none"/>
        </w:rPr>
      </w:pPr>
      <w:r>
        <w:rPr>
          <w:rFonts w:hint="eastAsia"/>
          <w:color w:val="auto"/>
          <w:highlight w:val="none"/>
        </w:rPr>
        <w:t>采用电子招标投标方式的，潜在投标人访问电子招标投标交易平台的网址和方法；</w:t>
      </w:r>
    </w:p>
    <w:p w14:paraId="57500B29">
      <w:pPr>
        <w:pStyle w:val="133"/>
        <w:rPr>
          <w:color w:val="auto"/>
          <w:highlight w:val="none"/>
        </w:rPr>
      </w:pPr>
      <w:r>
        <w:rPr>
          <w:rFonts w:hint="eastAsia"/>
          <w:color w:val="auto"/>
          <w:highlight w:val="none"/>
        </w:rPr>
        <w:t>其他依法应当载明的内容。</w:t>
      </w:r>
    </w:p>
    <w:p w14:paraId="34C8F677">
      <w:pPr>
        <w:pStyle w:val="212"/>
        <w:rPr>
          <w:color w:val="auto"/>
          <w:highlight w:val="none"/>
        </w:rPr>
      </w:pPr>
      <w:r>
        <w:rPr>
          <w:rFonts w:hint="eastAsia"/>
          <w:color w:val="auto"/>
          <w:highlight w:val="none"/>
        </w:rPr>
        <w:t>政府采购类项目应包含：</w:t>
      </w:r>
    </w:p>
    <w:p w14:paraId="1CA41384">
      <w:pPr>
        <w:pStyle w:val="133"/>
        <w:rPr>
          <w:color w:val="auto"/>
          <w:highlight w:val="none"/>
        </w:rPr>
      </w:pPr>
      <w:r>
        <w:rPr>
          <w:rFonts w:hint="eastAsia"/>
          <w:color w:val="auto"/>
          <w:highlight w:val="none"/>
        </w:rPr>
        <w:t>项目概况；</w:t>
      </w:r>
    </w:p>
    <w:p w14:paraId="5D8D7216">
      <w:pPr>
        <w:pStyle w:val="133"/>
        <w:rPr>
          <w:color w:val="auto"/>
          <w:highlight w:val="none"/>
        </w:rPr>
      </w:pPr>
      <w:r>
        <w:rPr>
          <w:rFonts w:hint="eastAsia"/>
          <w:color w:val="auto"/>
          <w:highlight w:val="none"/>
        </w:rPr>
        <w:t>项目基本情况，包含项目编号、项目名称、预算金额、最高限价（如有）、采购需求（包括但不限于标的的名称、数量、简要技术需求或服务要求等）、合同履行期限、是否接受联合体投标；</w:t>
      </w:r>
    </w:p>
    <w:p w14:paraId="165EAC9B">
      <w:pPr>
        <w:pStyle w:val="133"/>
        <w:rPr>
          <w:color w:val="auto"/>
          <w:highlight w:val="none"/>
        </w:rPr>
      </w:pPr>
      <w:r>
        <w:rPr>
          <w:rFonts w:hint="eastAsia"/>
          <w:color w:val="auto"/>
          <w:highlight w:val="none"/>
        </w:rPr>
        <w:t>申请人的资格要求，须包含满足《中华人民共和国政府采购法》第二十二条规定、落实政府采购政策需满足的资格要求、项目的特定资格要求；</w:t>
      </w:r>
    </w:p>
    <w:p w14:paraId="49107E64">
      <w:pPr>
        <w:pStyle w:val="133"/>
        <w:rPr>
          <w:color w:val="auto"/>
          <w:highlight w:val="none"/>
        </w:rPr>
      </w:pPr>
      <w:r>
        <w:rPr>
          <w:rFonts w:hint="eastAsia"/>
          <w:color w:val="auto"/>
          <w:highlight w:val="none"/>
        </w:rPr>
        <w:t>获取招标文件的时间、地点、方式及售价；</w:t>
      </w:r>
    </w:p>
    <w:p w14:paraId="18CD9221">
      <w:pPr>
        <w:pStyle w:val="133"/>
        <w:rPr>
          <w:color w:val="auto"/>
          <w:highlight w:val="none"/>
        </w:rPr>
      </w:pPr>
      <w:r>
        <w:rPr>
          <w:rFonts w:hint="eastAsia"/>
          <w:color w:val="auto"/>
          <w:highlight w:val="none"/>
        </w:rPr>
        <w:t>提交投标文件截止时间、开标时间和地点；</w:t>
      </w:r>
    </w:p>
    <w:p w14:paraId="216BC0A0">
      <w:pPr>
        <w:pStyle w:val="133"/>
        <w:rPr>
          <w:color w:val="auto"/>
          <w:highlight w:val="none"/>
        </w:rPr>
      </w:pPr>
      <w:r>
        <w:rPr>
          <w:rFonts w:hint="eastAsia"/>
          <w:color w:val="auto"/>
          <w:highlight w:val="none"/>
        </w:rPr>
        <w:t>公告期限；</w:t>
      </w:r>
    </w:p>
    <w:p w14:paraId="3DC97C4A">
      <w:pPr>
        <w:pStyle w:val="133"/>
        <w:rPr>
          <w:color w:val="auto"/>
          <w:highlight w:val="none"/>
        </w:rPr>
      </w:pPr>
      <w:r>
        <w:rPr>
          <w:rFonts w:hint="eastAsia"/>
          <w:color w:val="auto"/>
          <w:highlight w:val="none"/>
        </w:rPr>
        <w:t>采购人信息、采购代理机构信息、项目联系方式；</w:t>
      </w:r>
    </w:p>
    <w:p w14:paraId="75B1E544">
      <w:pPr>
        <w:pStyle w:val="133"/>
        <w:rPr>
          <w:color w:val="auto"/>
          <w:highlight w:val="none"/>
        </w:rPr>
      </w:pPr>
      <w:r>
        <w:rPr>
          <w:rFonts w:hint="eastAsia"/>
          <w:color w:val="auto"/>
          <w:highlight w:val="none"/>
        </w:rPr>
        <w:t>其他补充事宜。</w:t>
      </w:r>
    </w:p>
    <w:p w14:paraId="44B55F5C">
      <w:pPr>
        <w:pStyle w:val="212"/>
        <w:rPr>
          <w:rFonts w:ascii="黑体" w:hAnsi="黑体" w:eastAsia="黑体"/>
          <w:color w:val="auto"/>
          <w:highlight w:val="none"/>
        </w:rPr>
      </w:pPr>
      <w:r>
        <w:rPr>
          <w:rFonts w:hint="eastAsia"/>
          <w:color w:val="auto"/>
          <w:highlight w:val="none"/>
        </w:rPr>
        <w:t xml:space="preserve"> 建设用地使用权、矿业权国土资源出让项目应包含：</w:t>
      </w:r>
    </w:p>
    <w:p w14:paraId="7D18176C">
      <w:pPr>
        <w:pStyle w:val="133"/>
        <w:rPr>
          <w:color w:val="auto"/>
          <w:highlight w:val="none"/>
        </w:rPr>
      </w:pPr>
      <w:r>
        <w:rPr>
          <w:rFonts w:hint="eastAsia"/>
          <w:color w:val="auto"/>
          <w:highlight w:val="none"/>
        </w:rPr>
        <w:t>招标人的名称和地址；</w:t>
      </w:r>
    </w:p>
    <w:p w14:paraId="2047839F">
      <w:pPr>
        <w:pStyle w:val="133"/>
        <w:rPr>
          <w:color w:val="auto"/>
          <w:highlight w:val="none"/>
        </w:rPr>
      </w:pPr>
      <w:r>
        <w:rPr>
          <w:rFonts w:hint="eastAsia"/>
          <w:color w:val="auto"/>
          <w:highlight w:val="none"/>
        </w:rPr>
        <w:t>宗地的面积、界址、空间范围、现状、使用年期、用途、规划指标要求；</w:t>
      </w:r>
    </w:p>
    <w:p w14:paraId="72912820">
      <w:pPr>
        <w:pStyle w:val="133"/>
        <w:rPr>
          <w:color w:val="auto"/>
          <w:highlight w:val="none"/>
        </w:rPr>
      </w:pPr>
      <w:r>
        <w:rPr>
          <w:rFonts w:hint="eastAsia"/>
          <w:color w:val="auto"/>
          <w:highlight w:val="none"/>
        </w:rPr>
        <w:t>投标人的资格要求以及申请取得投标办法；</w:t>
      </w:r>
    </w:p>
    <w:p w14:paraId="45BD4AC3">
      <w:pPr>
        <w:pStyle w:val="133"/>
        <w:rPr>
          <w:color w:val="auto"/>
          <w:highlight w:val="none"/>
        </w:rPr>
      </w:pPr>
      <w:r>
        <w:rPr>
          <w:rFonts w:hint="eastAsia"/>
          <w:color w:val="auto"/>
          <w:highlight w:val="none"/>
        </w:rPr>
        <w:t>获取招标文件的时间、地点和方式；</w:t>
      </w:r>
    </w:p>
    <w:p w14:paraId="09E9ED7D">
      <w:pPr>
        <w:pStyle w:val="133"/>
        <w:rPr>
          <w:color w:val="auto"/>
          <w:highlight w:val="none"/>
        </w:rPr>
      </w:pPr>
      <w:r>
        <w:rPr>
          <w:rFonts w:hint="eastAsia"/>
          <w:color w:val="auto"/>
          <w:highlight w:val="none"/>
        </w:rPr>
        <w:t>投标截止时间、地点等；</w:t>
      </w:r>
    </w:p>
    <w:p w14:paraId="6E48954C">
      <w:pPr>
        <w:pStyle w:val="133"/>
        <w:rPr>
          <w:color w:val="auto"/>
          <w:highlight w:val="none"/>
        </w:rPr>
      </w:pPr>
      <w:r>
        <w:rPr>
          <w:rFonts w:hint="eastAsia"/>
          <w:color w:val="auto"/>
          <w:highlight w:val="none"/>
        </w:rPr>
        <w:t>确定中标人的标准和方法；</w:t>
      </w:r>
    </w:p>
    <w:p w14:paraId="719469FC">
      <w:pPr>
        <w:pStyle w:val="133"/>
        <w:rPr>
          <w:color w:val="auto"/>
          <w:highlight w:val="none"/>
        </w:rPr>
      </w:pPr>
      <w:r>
        <w:rPr>
          <w:rFonts w:hint="eastAsia"/>
          <w:color w:val="auto"/>
          <w:highlight w:val="none"/>
        </w:rPr>
        <w:t>投标保证金；</w:t>
      </w:r>
    </w:p>
    <w:p w14:paraId="65B2DF9B">
      <w:pPr>
        <w:pStyle w:val="133"/>
        <w:rPr>
          <w:color w:val="auto"/>
          <w:highlight w:val="none"/>
        </w:rPr>
      </w:pPr>
      <w:r>
        <w:rPr>
          <w:rFonts w:hint="eastAsia"/>
          <w:color w:val="auto"/>
          <w:highlight w:val="none"/>
        </w:rPr>
        <w:t>其他需要公告的事项。</w:t>
      </w:r>
    </w:p>
    <w:p w14:paraId="1A392F47">
      <w:pPr>
        <w:pStyle w:val="57"/>
        <w:ind w:firstLine="420"/>
        <w:rPr>
          <w:color w:val="auto"/>
          <w:highlight w:val="none"/>
        </w:rPr>
      </w:pPr>
      <w:bookmarkEnd w:id="40"/>
    </w:p>
    <w:bookmarkEnd w:id="38"/>
    <w:p w14:paraId="1ED774D6">
      <w:pPr>
        <w:pStyle w:val="57"/>
        <w:ind w:firstLine="0" w:firstLineChars="0"/>
        <w:jc w:val="center"/>
      </w:pPr>
      <w:bookmarkStart w:id="39"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9"/>
    </w:p>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0023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AF29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5DB7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3F567">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C6EDF">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D77E2">
    <w:pPr>
      <w:pStyle w:val="53"/>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D1334">
    <w:pPr>
      <w:pStyle w:val="52"/>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93619">
    <w:pPr>
      <w:pStyle w:val="53"/>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1D915">
    <w:pPr>
      <w:pStyle w:val="52"/>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45B7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5F5D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E19F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AE07B">
    <w:pPr>
      <w:pStyle w:val="62"/>
    </w:pPr>
    <w:r>
      <w:fldChar w:fldCharType="begin"/>
    </w:r>
    <w:r>
      <w:instrText xml:space="preserve"> STYLEREF  标准文件_文件编号  \* MERGEFORMAT </w:instrText>
    </w:r>
    <w:r>
      <w:fldChar w:fldCharType="separate"/>
    </w:r>
    <w:r>
      <w:t>Q/XCGZJ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6D900">
    <w:pPr>
      <w:pStyle w:val="63"/>
    </w:pPr>
    <w:r>
      <w:fldChar w:fldCharType="begin"/>
    </w:r>
    <w:r>
      <w:instrText xml:space="preserve"> STYLEREF  标准文件_文件编号 \* MERGEFORMAT </w:instrText>
    </w:r>
    <w:r>
      <w:fldChar w:fldCharType="separate"/>
    </w:r>
    <w:r>
      <w:t>Q/XCGZJ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AA6B5">
    <w:pPr>
      <w:pStyle w:val="62"/>
    </w:pPr>
    <w:r>
      <w:fldChar w:fldCharType="begin"/>
    </w:r>
    <w:r>
      <w:instrText xml:space="preserve"> STYLEREF  标准文件_文件编号  \* MERGEFORMAT </w:instrText>
    </w:r>
    <w:r>
      <w:fldChar w:fldCharType="separate"/>
    </w:r>
    <w:r>
      <w:t>Q/XCGZJ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F5570">
    <w:pPr>
      <w:pStyle w:val="63"/>
    </w:pPr>
    <w:r>
      <w:fldChar w:fldCharType="begin"/>
    </w:r>
    <w:r>
      <w:instrText xml:space="preserve"> STYLEREF  标准文件_文件编号 \* MERGEFORMAT </w:instrText>
    </w:r>
    <w:r>
      <w:fldChar w:fldCharType="separate"/>
    </w:r>
    <w:r>
      <w:t>Q/XCGZJ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1DF92">
    <w:pPr>
      <w:pStyle w:val="62"/>
    </w:pPr>
    <w:r>
      <w:fldChar w:fldCharType="begin"/>
    </w:r>
    <w:r>
      <w:instrText xml:space="preserve"> STYLEREF  标准文件_文件编号  \* MERGEFORMAT </w:instrText>
    </w:r>
    <w:r>
      <w:fldChar w:fldCharType="separate"/>
    </w:r>
    <w:r>
      <w:t>Q/XCGZJ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A78F0">
    <w:pPr>
      <w:pStyle w:val="63"/>
    </w:pPr>
    <w:r>
      <w:fldChar w:fldCharType="begin"/>
    </w:r>
    <w:r>
      <w:instrText xml:space="preserve"> STYLEREF  标准文件_文件编号 \* MERGEFORMAT </w:instrText>
    </w:r>
    <w:r>
      <w:fldChar w:fldCharType="separate"/>
    </w:r>
    <w:r>
      <w:t>Q/XCGZJ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1986"/>
        </w:tabs>
        <w:ind w:left="1986"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 w:firstLine="0"/>
      </w:pPr>
      <w:rPr>
        <w:rFonts w:hint="eastAsia" w:ascii="黑体" w:eastAsia="黑体"/>
        <w:b w:val="0"/>
        <w:i w:val="0"/>
        <w:sz w:val="21"/>
      </w:rPr>
    </w:lvl>
    <w:lvl w:ilvl="2" w:tentative="0">
      <w:start w:val="1"/>
      <w:numFmt w:val="decimal"/>
      <w:pStyle w:val="106"/>
      <w:suff w:val="nothing"/>
      <w:lvlText w:val="%1%2.%3　"/>
      <w:lvlJc w:val="left"/>
      <w:pPr>
        <w:ind w:left="283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yOqmwIPTIm6ERdSLzBVNKeHHIeiDPBJRwbovCw/TgfZJvT6W2ll3nfmlM+OJ+4C7epVzPD2vG4HYDoeotnbQhQ==" w:salt="3E0FCmoXNZCs2C3WARYNhw=="/>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781"/>
    <w:rsid w:val="0000040A"/>
    <w:rsid w:val="00000A94"/>
    <w:rsid w:val="00001972"/>
    <w:rsid w:val="00001D9A"/>
    <w:rsid w:val="0000380F"/>
    <w:rsid w:val="00007B3A"/>
    <w:rsid w:val="00010015"/>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B1"/>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DA1"/>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449"/>
    <w:rsid w:val="000F4AEA"/>
    <w:rsid w:val="000F67E9"/>
    <w:rsid w:val="00104926"/>
    <w:rsid w:val="00113B1E"/>
    <w:rsid w:val="0011711C"/>
    <w:rsid w:val="00124E4F"/>
    <w:rsid w:val="001260B7"/>
    <w:rsid w:val="001265CB"/>
    <w:rsid w:val="001321C6"/>
    <w:rsid w:val="001325C4"/>
    <w:rsid w:val="00133010"/>
    <w:rsid w:val="001338EE"/>
    <w:rsid w:val="00133AAE"/>
    <w:rsid w:val="001342B3"/>
    <w:rsid w:val="00135323"/>
    <w:rsid w:val="001356C4"/>
    <w:rsid w:val="0013674F"/>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8D9"/>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41C"/>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D89"/>
    <w:rsid w:val="00296EBE"/>
    <w:rsid w:val="002974E3"/>
    <w:rsid w:val="002A084B"/>
    <w:rsid w:val="002A1260"/>
    <w:rsid w:val="002A1589"/>
    <w:rsid w:val="002A1608"/>
    <w:rsid w:val="002A25DC"/>
    <w:rsid w:val="002A3AAB"/>
    <w:rsid w:val="002A4CEA"/>
    <w:rsid w:val="002A55BB"/>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115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C6EFF"/>
    <w:rsid w:val="003D0519"/>
    <w:rsid w:val="003D0FF6"/>
    <w:rsid w:val="003D262C"/>
    <w:rsid w:val="003D6D61"/>
    <w:rsid w:val="003E091D"/>
    <w:rsid w:val="003E1C53"/>
    <w:rsid w:val="003E2A69"/>
    <w:rsid w:val="003E2D49"/>
    <w:rsid w:val="003E2FD4"/>
    <w:rsid w:val="003E49A1"/>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F29"/>
    <w:rsid w:val="00432DAA"/>
    <w:rsid w:val="00434305"/>
    <w:rsid w:val="00435DF7"/>
    <w:rsid w:val="00436EC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2BA"/>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0798F"/>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781"/>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1695"/>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7C1"/>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5FC"/>
    <w:rsid w:val="00680A27"/>
    <w:rsid w:val="006816A4"/>
    <w:rsid w:val="006819B8"/>
    <w:rsid w:val="006840A6"/>
    <w:rsid w:val="006850CD"/>
    <w:rsid w:val="00685AAB"/>
    <w:rsid w:val="006A07AA"/>
    <w:rsid w:val="006A25E5"/>
    <w:rsid w:val="006A2B46"/>
    <w:rsid w:val="006A336D"/>
    <w:rsid w:val="006A37B9"/>
    <w:rsid w:val="006B2672"/>
    <w:rsid w:val="006B45A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E2980"/>
    <w:rsid w:val="006F03A8"/>
    <w:rsid w:val="006F1AB8"/>
    <w:rsid w:val="006F2ACA"/>
    <w:rsid w:val="006F2ADC"/>
    <w:rsid w:val="006F2BFE"/>
    <w:rsid w:val="006F31E9"/>
    <w:rsid w:val="006F6284"/>
    <w:rsid w:val="007002C5"/>
    <w:rsid w:val="00701C77"/>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5CEC"/>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1C6"/>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5E8B"/>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5FC4"/>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525"/>
    <w:rsid w:val="00941EB9"/>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4072"/>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5D22"/>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4D8C"/>
    <w:rsid w:val="00A153D9"/>
    <w:rsid w:val="00A15F09"/>
    <w:rsid w:val="00A169B6"/>
    <w:rsid w:val="00A2271D"/>
    <w:rsid w:val="00A237D5"/>
    <w:rsid w:val="00A260A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5C0"/>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658"/>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C5E19"/>
    <w:rsid w:val="00AD0AEF"/>
    <w:rsid w:val="00AD11B7"/>
    <w:rsid w:val="00AD1A94"/>
    <w:rsid w:val="00AD1C05"/>
    <w:rsid w:val="00AD4126"/>
    <w:rsid w:val="00AD421C"/>
    <w:rsid w:val="00AD44FA"/>
    <w:rsid w:val="00AE070A"/>
    <w:rsid w:val="00AE101C"/>
    <w:rsid w:val="00AE2A69"/>
    <w:rsid w:val="00AE369C"/>
    <w:rsid w:val="00AE37E5"/>
    <w:rsid w:val="00AE3A51"/>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855"/>
    <w:rsid w:val="00BC5DC7"/>
    <w:rsid w:val="00BC6349"/>
    <w:rsid w:val="00BC6B8B"/>
    <w:rsid w:val="00BC73D8"/>
    <w:rsid w:val="00BD52D7"/>
    <w:rsid w:val="00BD5AD2"/>
    <w:rsid w:val="00BE22F3"/>
    <w:rsid w:val="00BE30B8"/>
    <w:rsid w:val="00BE5B52"/>
    <w:rsid w:val="00BE7B8D"/>
    <w:rsid w:val="00BF0993"/>
    <w:rsid w:val="00BF10A9"/>
    <w:rsid w:val="00BF1703"/>
    <w:rsid w:val="00BF1A75"/>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1081"/>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74916"/>
    <w:rsid w:val="00C80CB8"/>
    <w:rsid w:val="00C819F8"/>
    <w:rsid w:val="00C8248C"/>
    <w:rsid w:val="00C84E33"/>
    <w:rsid w:val="00C86D6F"/>
    <w:rsid w:val="00C905FC"/>
    <w:rsid w:val="00C92D03"/>
    <w:rsid w:val="00C9319C"/>
    <w:rsid w:val="00C9435D"/>
    <w:rsid w:val="00C94DF2"/>
    <w:rsid w:val="00C96741"/>
    <w:rsid w:val="00C97812"/>
    <w:rsid w:val="00CA0637"/>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EEF"/>
    <w:rsid w:val="00D126DE"/>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5E96"/>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905"/>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57C3C"/>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F47"/>
    <w:rsid w:val="00E90391"/>
    <w:rsid w:val="00E906C2"/>
    <w:rsid w:val="00E9311F"/>
    <w:rsid w:val="00E934D1"/>
    <w:rsid w:val="00E94AF0"/>
    <w:rsid w:val="00E956D1"/>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C751C"/>
    <w:rsid w:val="00ED067A"/>
    <w:rsid w:val="00ED2B50"/>
    <w:rsid w:val="00EE0350"/>
    <w:rsid w:val="00EE0719"/>
    <w:rsid w:val="00EE0E80"/>
    <w:rsid w:val="00EE613F"/>
    <w:rsid w:val="00EE7295"/>
    <w:rsid w:val="00EE7869"/>
    <w:rsid w:val="00EF054A"/>
    <w:rsid w:val="00EF3235"/>
    <w:rsid w:val="00EF3EAC"/>
    <w:rsid w:val="00EF46DE"/>
    <w:rsid w:val="00EF7E72"/>
    <w:rsid w:val="00F06D37"/>
    <w:rsid w:val="00F07B9D"/>
    <w:rsid w:val="00F11586"/>
    <w:rsid w:val="00F1183B"/>
    <w:rsid w:val="00F11C9F"/>
    <w:rsid w:val="00F12263"/>
    <w:rsid w:val="00F1409D"/>
    <w:rsid w:val="00F14214"/>
    <w:rsid w:val="00F157A9"/>
    <w:rsid w:val="00F1716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4E46"/>
    <w:rsid w:val="00F95248"/>
    <w:rsid w:val="00F956A9"/>
    <w:rsid w:val="00F963ED"/>
    <w:rsid w:val="00F966CF"/>
    <w:rsid w:val="00F96CAE"/>
    <w:rsid w:val="00F97C99"/>
    <w:rsid w:val="00FA662D"/>
    <w:rsid w:val="00FA73B1"/>
    <w:rsid w:val="00FB0CB9"/>
    <w:rsid w:val="00FB231D"/>
    <w:rsid w:val="00FB45F1"/>
    <w:rsid w:val="00FB49D7"/>
    <w:rsid w:val="00FB4A72"/>
    <w:rsid w:val="00FB512A"/>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29D7991"/>
    <w:rsid w:val="45C622D0"/>
    <w:rsid w:val="5B9544A4"/>
    <w:rsid w:val="69FF2378"/>
    <w:rsid w:val="6F072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tabs>
        <w:tab w:val="left" w:pos="851"/>
        <w:tab w:val="clear" w:pos="1986"/>
      </w:tabs>
      <w:ind w:left="851"/>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08A39928F340459C18AD6FBC467BB5"/>
        <w:style w:val=""/>
        <w:category>
          <w:name w:val="常规"/>
          <w:gallery w:val="placeholder"/>
        </w:category>
        <w:types>
          <w:type w:val="bbPlcHdr"/>
        </w:types>
        <w:behaviors>
          <w:behavior w:val="content"/>
        </w:behaviors>
        <w:description w:val=""/>
        <w:guid w:val="{BB4F8947-024C-4290-A189-2234FC87C501}"/>
      </w:docPartPr>
      <w:docPartBody>
        <w:p w14:paraId="641A02D9">
          <w:pPr>
            <w:pStyle w:val="5"/>
          </w:pPr>
          <w:r>
            <w:rPr>
              <w:rStyle w:val="4"/>
              <w:rFonts w:hint="eastAsia"/>
            </w:rPr>
            <w:t>单击或点击此处输入文字。</w:t>
          </w:r>
        </w:p>
      </w:docPartBody>
    </w:docPart>
    <w:docPart>
      <w:docPartPr>
        <w:name w:val="08A64A7A42C142ABA00458C9C971156C"/>
        <w:style w:val=""/>
        <w:category>
          <w:name w:val="常规"/>
          <w:gallery w:val="placeholder"/>
        </w:category>
        <w:types>
          <w:type w:val="bbPlcHdr"/>
        </w:types>
        <w:behaviors>
          <w:behavior w:val="content"/>
        </w:behaviors>
        <w:description w:val=""/>
        <w:guid w:val="{C7908AAA-BD6F-4DD2-80AA-D6CB550F326A}"/>
      </w:docPartPr>
      <w:docPartBody>
        <w:p w14:paraId="583DFA35">
          <w:pPr>
            <w:pStyle w:val="6"/>
          </w:pPr>
          <w:r>
            <w:rPr>
              <w:rStyle w:val="4"/>
              <w:rFonts w:hint="eastAsia"/>
            </w:rPr>
            <w:t>选择一项。</w:t>
          </w:r>
        </w:p>
      </w:docPartBody>
    </w:docPart>
    <w:docPart>
      <w:docPartPr>
        <w:name w:val="EF625BA93022403191303740BC820F76"/>
        <w:style w:val=""/>
        <w:category>
          <w:name w:val="常规"/>
          <w:gallery w:val="placeholder"/>
        </w:category>
        <w:types>
          <w:type w:val="bbPlcHdr"/>
        </w:types>
        <w:behaviors>
          <w:behavior w:val="content"/>
        </w:behaviors>
        <w:description w:val=""/>
        <w:guid w:val="{1A5B8A90-1B1E-4FBC-8755-DF59CB0B1933}"/>
      </w:docPartPr>
      <w:docPartBody>
        <w:p w14:paraId="5254E17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54"/>
    <w:rsid w:val="00006A11"/>
    <w:rsid w:val="00124AF8"/>
    <w:rsid w:val="001B438B"/>
    <w:rsid w:val="00291CB5"/>
    <w:rsid w:val="002D1254"/>
    <w:rsid w:val="002D18DC"/>
    <w:rsid w:val="00353596"/>
    <w:rsid w:val="00391F01"/>
    <w:rsid w:val="0042092E"/>
    <w:rsid w:val="00590184"/>
    <w:rsid w:val="005C40B7"/>
    <w:rsid w:val="006F5774"/>
    <w:rsid w:val="00706564"/>
    <w:rsid w:val="00723E5A"/>
    <w:rsid w:val="00A523CE"/>
    <w:rsid w:val="00B06E1E"/>
    <w:rsid w:val="00CB3701"/>
    <w:rsid w:val="00D96C41"/>
    <w:rsid w:val="00E34DD3"/>
    <w:rsid w:val="00E54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08A39928F340459C18AD6FBC467B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8A64A7A42C142ABA00458C9C97115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F625BA93022403191303740BC820F7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4B7FC6-4E0C-458F-AB2C-D5CF883086FA}">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5</Pages>
  <Words>1133</Words>
  <Characters>1172</Characters>
  <Lines>10</Lines>
  <Paragraphs>2</Paragraphs>
  <TotalTime>51</TotalTime>
  <ScaleCrop>false</ScaleCrop>
  <LinksUpToDate>false</LinksUpToDate>
  <CharactersWithSpaces>1187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2024-07-30T02:25:00Z</dcterms:created>
  <dc:creator>王程鹏</dc:creator>
  <dc:description>&lt;config cover="true" show_menu="true" version="1.0.0" doctype="SDKXY"&gt;_x000d_
&lt;/config&gt;</dc:description>
  <cp:lastModifiedBy>为你存在</cp:lastModifiedBy>
  <cp:lastPrinted>2020-08-30T10:00:00Z</cp:lastPrinted>
  <dcterms:modified xsi:type="dcterms:W3CDTF">2025-02-06T08:14:22Z</dcterms:modified>
  <dc:title>企业标准</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eyJoZGlkIjoiNmQ0NzhhMjIyNjRiNGExMTAxNTkwOTI1ZmYyZGUxMjMiLCJ1c2VySWQiOiI0NTgyNTk2NzEifQ==</vt:lpwstr>
  </property>
  <property fmtid="{D5CDD505-2E9C-101B-9397-08002B2CF9AE}" pid="16" name="KSOProductBuildVer">
    <vt:lpwstr>2052-12.1.0.19770</vt:lpwstr>
  </property>
  <property fmtid="{D5CDD505-2E9C-101B-9397-08002B2CF9AE}" pid="17" name="ICV">
    <vt:lpwstr>97A03C0E3DB94AA4AEAF4AFEDDA40ABD_12</vt:lpwstr>
  </property>
</Properties>
</file>