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6187BA8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8505" w:type="dxa"/>
          </w:tcPr>
          <w:p w14:paraId="4B85A7EB">
            <w:pPr>
              <w:pStyle w:val="49"/>
              <w:framePr w:w="0" w:hRule="auto" w:wrap="auto" w:vAnchor="margin" w:hAnchor="text" w:xAlign="left" w:yAlign="inline"/>
              <w:rPr>
                <w:rFonts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XCGJZ</w:t>
            </w:r>
            <w:r>
              <w:fldChar w:fldCharType="end"/>
            </w:r>
            <w:bookmarkEnd w:id="1"/>
          </w:p>
        </w:tc>
      </w:tr>
    </w:tbl>
    <w:p w14:paraId="2F0CF823">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宣城市公共资源交易中心</w:t>
      </w:r>
      <w:r>
        <w:rPr>
          <w:rFonts w:ascii="黑体" w:eastAsia="黑体"/>
          <w:b w:val="0"/>
          <w:w w:val="100"/>
          <w:sz w:val="48"/>
        </w:rPr>
        <w:fldChar w:fldCharType="end"/>
      </w:r>
      <w:bookmarkEnd w:id="2"/>
      <w:r>
        <w:rPr>
          <w:rFonts w:hint="eastAsia" w:ascii="黑体" w:eastAsia="黑体"/>
          <w:b w:val="0"/>
          <w:w w:val="100"/>
          <w:sz w:val="48"/>
        </w:rPr>
        <w:t>企业</w:t>
      </w:r>
      <w:r>
        <w:rPr>
          <w:rFonts w:hint="eastAsia" w:ascii="黑体" w:hAnsi="黑体" w:eastAsia="黑体"/>
          <w:b w:val="0"/>
          <w:bCs w:val="0"/>
          <w:w w:val="100"/>
          <w:sz w:val="48"/>
          <w:szCs w:val="48"/>
        </w:rPr>
        <w:t>标准</w:t>
      </w:r>
    </w:p>
    <w:bookmarkEnd w:id="0"/>
    <w:p w14:paraId="1F9817AE">
      <w:pPr>
        <w:pStyle w:val="195"/>
        <w:framePr/>
      </w:pPr>
      <w:r>
        <w:t>Q/</w:t>
      </w:r>
      <w:r>
        <w:fldChar w:fldCharType="begin">
          <w:ffData>
            <w:name w:val="文字1"/>
            <w:enabled/>
            <w:calcOnExit w:val="0"/>
            <w:textInput>
              <w:default w:val="XXX"/>
            </w:textInput>
          </w:ffData>
        </w:fldChar>
      </w:r>
      <w:bookmarkStart w:id="3" w:name="文字1"/>
      <w:r>
        <w:instrText xml:space="preserve"> FORMTEXT </w:instrText>
      </w:r>
      <w:r>
        <w:fldChar w:fldCharType="separate"/>
      </w:r>
      <w:r>
        <w:t>XCGJZ</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w:t>
      </w:r>
      <w:r>
        <w:t>5</w:t>
      </w:r>
      <w:r>
        <w:fldChar w:fldCharType="end"/>
      </w:r>
      <w:bookmarkEnd w:id="5"/>
    </w:p>
    <w:p w14:paraId="28D13432">
      <w:pPr>
        <w:pStyle w:val="196"/>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7CCC2EAA">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0271B0E">
      <w:pPr>
        <w:pStyle w:val="50"/>
        <w:framePr w:w="9639" w:h="6976" w:hRule="exact" w:hSpace="0" w:vSpace="0" w:wrap="around" w:hAnchor="page" w:y="6408"/>
        <w:jc w:val="center"/>
        <w:rPr>
          <w:rFonts w:ascii="黑体" w:hAnsi="黑体" w:eastAsia="黑体"/>
          <w:b w:val="0"/>
          <w:bCs w:val="0"/>
          <w:w w:val="100"/>
        </w:rPr>
      </w:pPr>
    </w:p>
    <w:p w14:paraId="3745C61F">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开标现场工作规范</w:t>
      </w:r>
      <w:r>
        <w:fldChar w:fldCharType="end"/>
      </w:r>
      <w:bookmarkEnd w:id="7"/>
    </w:p>
    <w:p w14:paraId="0ACE6B88">
      <w:pPr>
        <w:framePr w:w="9639" w:h="6974" w:hRule="exact" w:wrap="around" w:vAnchor="page" w:hAnchor="page" w:x="1419" w:y="6408" w:anchorLock="1"/>
        <w:ind w:left="-1418"/>
      </w:pPr>
    </w:p>
    <w:p w14:paraId="2BFFF2D6">
      <w:pPr>
        <w:framePr w:w="9639" w:h="6974" w:hRule="exact" w:wrap="around" w:vAnchor="page" w:hAnchor="page" w:x="1419" w:y="6408" w:anchorLock="1"/>
        <w:spacing w:line="760" w:lineRule="exact"/>
        <w:ind w:left="-1418"/>
      </w:pPr>
    </w:p>
    <w:p w14:paraId="1513B896">
      <w:pPr>
        <w:pStyle w:val="125"/>
        <w:framePr w:w="9639" w:h="6974" w:hRule="exact" w:wrap="around" w:vAnchor="page" w:hAnchor="page" w:x="1419" w:y="6408" w:anchorLock="1"/>
        <w:textAlignment w:val="bottom"/>
        <w:rPr>
          <w:rFonts w:eastAsia="黑体"/>
          <w:szCs w:val="28"/>
        </w:rPr>
      </w:pPr>
    </w:p>
    <w:p w14:paraId="309D18DA">
      <w:pPr>
        <w:pStyle w:val="125"/>
        <w:framePr w:w="9639" w:h="6974" w:hRule="exact" w:wrap="around" w:vAnchor="page" w:hAnchor="page" w:x="1419" w:y="6408" w:anchorLock="1"/>
        <w:spacing w:before="440" w:after="160"/>
        <w:textAlignment w:val="bottom"/>
        <w:rPr>
          <w:sz w:val="24"/>
          <w:szCs w:val="28"/>
        </w:rPr>
      </w:pPr>
    </w:p>
    <w:p w14:paraId="15CF2C2E">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47DE910A">
      <w:pPr>
        <w:pStyle w:val="193"/>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14:paraId="406F0C8B">
      <w:pPr>
        <w:pStyle w:val="194"/>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14:paraId="7F40F726">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Ansi="黑体"/>
          <w:w w:val="100"/>
          <w:sz w:val="28"/>
        </w:rPr>
        <w:t>宣城市公共资源交易中心</w:t>
      </w:r>
      <w:r>
        <w:rPr>
          <w:rFonts w:hAnsi="黑体"/>
          <w:w w:val="100"/>
          <w:sz w:val="28"/>
        </w:rPr>
        <w:fldChar w:fldCharType="end"/>
      </w:r>
      <w:bookmarkEnd w:id="14"/>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E91120D">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2474489">
      <w:pPr>
        <w:pStyle w:val="89"/>
        <w:spacing w:after="468"/>
      </w:pPr>
      <w:bookmarkStart w:id="15" w:name="BookMark2"/>
      <w:r>
        <w:rPr>
          <w:spacing w:val="320"/>
        </w:rPr>
        <w:t>前</w:t>
      </w:r>
      <w:r>
        <w:t>言</w:t>
      </w:r>
    </w:p>
    <w:p w14:paraId="631D2B30">
      <w:pPr>
        <w:pStyle w:val="56"/>
        <w:ind w:firstLine="420"/>
      </w:pPr>
      <w:r>
        <w:rPr>
          <w:rFonts w:hint="eastAsia"/>
        </w:rPr>
        <w:t>本文件按照GB/T 1.1—2020《标准化工作导则  第1部分：标准化文件的结构和起草规则》的规定起草。</w:t>
      </w:r>
    </w:p>
    <w:p w14:paraId="710EAE18">
      <w:pPr>
        <w:pStyle w:val="56"/>
        <w:ind w:firstLine="420"/>
      </w:pPr>
      <w:r>
        <w:rPr>
          <w:rFonts w:hint="eastAsia"/>
        </w:rPr>
        <w:t>本文件由宣城市公共资源交易中心提出并归口。</w:t>
      </w:r>
    </w:p>
    <w:p w14:paraId="5B39D0DE">
      <w:pPr>
        <w:pStyle w:val="56"/>
        <w:ind w:firstLine="420"/>
      </w:pPr>
      <w:r>
        <w:rPr>
          <w:rFonts w:hint="eastAsia"/>
        </w:rPr>
        <w:t>本文件起草单位：宣城市公共资源交易中心。</w:t>
      </w:r>
    </w:p>
    <w:p w14:paraId="540EC21E">
      <w:pPr>
        <w:pStyle w:val="56"/>
        <w:ind w:firstLine="420"/>
        <w:rPr>
          <w:rFonts w:hint="eastAsia"/>
        </w:rPr>
      </w:pPr>
      <w:r>
        <w:rPr>
          <w:rFonts w:hint="eastAsia"/>
        </w:rPr>
        <w:t>本文件主要起草人：X</w:t>
      </w:r>
      <w:r>
        <w:t>XX</w:t>
      </w:r>
      <w:r>
        <w:rPr>
          <w:rFonts w:hint="eastAsia"/>
        </w:rPr>
        <w:t>、X</w:t>
      </w:r>
      <w:r>
        <w:t>XX</w:t>
      </w:r>
      <w:r>
        <w:rPr>
          <w:rFonts w:hint="eastAsia"/>
        </w:rPr>
        <w:t>……</w:t>
      </w:r>
    </w:p>
    <w:p w14:paraId="5539E133">
      <w:pPr>
        <w:pStyle w:val="56"/>
        <w:ind w:firstLine="420"/>
      </w:pPr>
    </w:p>
    <w:p w14:paraId="4CEF671E">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5"/>
    <w:p w14:paraId="7FE9612A">
      <w:pPr>
        <w:spacing w:line="20" w:lineRule="exact"/>
        <w:jc w:val="center"/>
        <w:rPr>
          <w:rFonts w:ascii="黑体" w:hAnsi="黑体" w:eastAsia="黑体"/>
          <w:sz w:val="32"/>
          <w:szCs w:val="32"/>
        </w:rPr>
      </w:pPr>
      <w:bookmarkStart w:id="16" w:name="BookMark4"/>
    </w:p>
    <w:p w14:paraId="3741786D">
      <w:pPr>
        <w:spacing w:line="20" w:lineRule="exact"/>
        <w:jc w:val="center"/>
        <w:rPr>
          <w:rFonts w:ascii="黑体" w:hAnsi="黑体" w:eastAsia="黑体"/>
          <w:sz w:val="32"/>
          <w:szCs w:val="32"/>
        </w:rPr>
      </w:pPr>
    </w:p>
    <w:sdt>
      <w:sdtPr>
        <w:tag w:val="NEW_STAND_NAME"/>
        <w:id w:val="595910757"/>
        <w:lock w:val="sdtLocked"/>
        <w:placeholder>
          <w:docPart w:val="D1560A00ECDF43E1BFE3189C275C2732"/>
        </w:placeholder>
      </w:sdtPr>
      <w:sdtContent>
        <w:p w14:paraId="65B5C44A">
          <w:pPr>
            <w:pStyle w:val="177"/>
            <w:spacing w:before="312" w:beforeLines="100" w:after="686" w:afterLines="220"/>
          </w:pPr>
          <w:bookmarkStart w:id="17" w:name="NEW_STAND_NAME"/>
          <w:r>
            <w:rPr>
              <w:rFonts w:hint="eastAsia"/>
            </w:rPr>
            <w:t>开标现场工作规范</w:t>
          </w:r>
        </w:p>
      </w:sdtContent>
    </w:sdt>
    <w:bookmarkEnd w:id="17"/>
    <w:p w14:paraId="09382ACB">
      <w:pPr>
        <w:pStyle w:val="104"/>
        <w:spacing w:before="312" w:after="312"/>
      </w:pPr>
      <w:bookmarkStart w:id="18" w:name="_Toc24884211"/>
      <w:bookmarkStart w:id="19" w:name="_Toc17233333"/>
      <w:bookmarkStart w:id="20" w:name="_Toc26718930"/>
      <w:bookmarkStart w:id="21" w:name="_Toc17233325"/>
      <w:bookmarkStart w:id="22" w:name="_Toc24884218"/>
      <w:bookmarkStart w:id="23" w:name="_Toc26648465"/>
      <w:bookmarkStart w:id="24" w:name="_Toc98918883"/>
      <w:bookmarkStart w:id="25" w:name="_Toc26986771"/>
      <w:bookmarkStart w:id="26" w:name="_Toc26986530"/>
      <w:r>
        <w:rPr>
          <w:rFonts w:hint="eastAsia"/>
        </w:rPr>
        <w:t>范围</w:t>
      </w:r>
      <w:bookmarkEnd w:id="18"/>
      <w:bookmarkEnd w:id="19"/>
      <w:bookmarkEnd w:id="20"/>
      <w:bookmarkEnd w:id="21"/>
      <w:bookmarkEnd w:id="22"/>
      <w:bookmarkEnd w:id="23"/>
      <w:bookmarkEnd w:id="24"/>
      <w:bookmarkEnd w:id="25"/>
      <w:bookmarkEnd w:id="26"/>
    </w:p>
    <w:p w14:paraId="4ACE7467">
      <w:pPr>
        <w:pStyle w:val="56"/>
        <w:ind w:firstLine="420"/>
        <w:rPr>
          <w:color w:val="auto"/>
          <w:highlight w:val="none"/>
        </w:rPr>
      </w:pPr>
      <w:bookmarkStart w:id="27" w:name="_Toc24884219"/>
      <w:bookmarkStart w:id="28" w:name="_Toc26648466"/>
      <w:bookmarkStart w:id="29" w:name="_Toc17233334"/>
      <w:bookmarkStart w:id="30" w:name="_Toc17233326"/>
      <w:bookmarkStart w:id="31" w:name="_Toc24884212"/>
      <w:r>
        <w:rPr>
          <w:color w:val="auto"/>
          <w:highlight w:val="none"/>
        </w:rPr>
        <w:t>本文件</w:t>
      </w:r>
      <w:r>
        <w:rPr>
          <w:rFonts w:hint="eastAsia"/>
          <w:color w:val="auto"/>
          <w:highlight w:val="none"/>
        </w:rPr>
        <w:t xml:space="preserve">规定了进入宣城市公共资源交易中心（以下简称“中心”）交易项目开标现场的工作要求。 </w:t>
      </w:r>
    </w:p>
    <w:p w14:paraId="6D547845">
      <w:pPr>
        <w:pStyle w:val="56"/>
        <w:ind w:firstLine="420"/>
        <w:rPr>
          <w:color w:val="auto"/>
          <w:highlight w:val="none"/>
        </w:rPr>
      </w:pPr>
      <w:r>
        <w:rPr>
          <w:rFonts w:hint="eastAsia"/>
          <w:color w:val="auto"/>
          <w:highlight w:val="none"/>
        </w:rPr>
        <w:t xml:space="preserve">本文件适用于中心开标现场工作。 </w:t>
      </w:r>
    </w:p>
    <w:p w14:paraId="5C96DBA3">
      <w:pPr>
        <w:pStyle w:val="104"/>
        <w:spacing w:before="312" w:after="312"/>
        <w:rPr>
          <w:color w:val="auto"/>
          <w:highlight w:val="none"/>
        </w:rPr>
      </w:pPr>
      <w:bookmarkStart w:id="32" w:name="_Toc98918884"/>
      <w:bookmarkStart w:id="33" w:name="_Toc26718931"/>
      <w:bookmarkStart w:id="34" w:name="_Toc26986531"/>
      <w:bookmarkStart w:id="35" w:name="_Toc26986772"/>
      <w:r>
        <w:rPr>
          <w:rFonts w:hint="eastAsia"/>
          <w:color w:val="auto"/>
          <w:highlight w:val="none"/>
        </w:rPr>
        <w:t>规范性引用文件</w:t>
      </w:r>
      <w:bookmarkEnd w:id="27"/>
      <w:bookmarkEnd w:id="28"/>
      <w:bookmarkEnd w:id="29"/>
      <w:bookmarkEnd w:id="30"/>
      <w:bookmarkEnd w:id="31"/>
      <w:bookmarkEnd w:id="32"/>
      <w:bookmarkEnd w:id="33"/>
      <w:bookmarkEnd w:id="34"/>
      <w:bookmarkEnd w:id="35"/>
    </w:p>
    <w:sdt>
      <w:sdtPr>
        <w:rPr>
          <w:rFonts w:hint="eastAsia"/>
          <w:color w:val="auto"/>
          <w:highlight w:val="none"/>
        </w:rPr>
        <w:id w:val="715848253"/>
        <w:placeholder>
          <w:docPart w:val="82845FE6394148DDB6BFB592495F490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highlight w:val="none"/>
        </w:rPr>
      </w:sdtEndPr>
      <w:sdtContent>
        <w:p w14:paraId="2274DDB3">
          <w:pPr>
            <w:pStyle w:val="56"/>
            <w:ind w:firstLine="420"/>
            <w:rPr>
              <w:color w:val="auto"/>
              <w:highlight w:val="none"/>
            </w:rPr>
          </w:pPr>
          <w:r>
            <w:rPr>
              <w:rFonts w:hint="eastAsia"/>
              <w:color w:val="auto"/>
              <w:highlight w:val="none"/>
            </w:rPr>
            <w:t>本文件没有规范性引用文件。</w:t>
          </w:r>
        </w:p>
      </w:sdtContent>
    </w:sdt>
    <w:p w14:paraId="7869DB90">
      <w:pPr>
        <w:pStyle w:val="104"/>
        <w:spacing w:before="312" w:after="312"/>
        <w:rPr>
          <w:color w:val="auto"/>
          <w:highlight w:val="none"/>
        </w:rPr>
      </w:pPr>
      <w:bookmarkStart w:id="36" w:name="_Toc98918885"/>
      <w:r>
        <w:rPr>
          <w:rFonts w:hint="eastAsia"/>
          <w:color w:val="auto"/>
          <w:szCs w:val="21"/>
          <w:highlight w:val="none"/>
        </w:rPr>
        <w:t>术语和定义</w:t>
      </w:r>
      <w:bookmarkEnd w:id="36"/>
      <w:bookmarkStart w:id="39" w:name="_GoBack"/>
      <w:bookmarkEnd w:id="39"/>
    </w:p>
    <w:sdt>
      <w:sdtPr>
        <w:rPr>
          <w:color w:val="auto"/>
          <w:highlight w:val="none"/>
        </w:rPr>
        <w:id w:val="-1909835108"/>
        <w:placeholder>
          <w:docPart w:val="BBB76FB043A848B88D5901347ECF0CD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highlight w:val="none"/>
        </w:rPr>
      </w:sdtEndPr>
      <w:sdtContent>
        <w:p w14:paraId="101924B8">
          <w:pPr>
            <w:pStyle w:val="56"/>
            <w:ind w:firstLine="420"/>
            <w:rPr>
              <w:color w:val="auto"/>
              <w:highlight w:val="none"/>
            </w:rPr>
          </w:pPr>
          <w:bookmarkStart w:id="37" w:name="_Toc26986532"/>
          <w:bookmarkEnd w:id="37"/>
          <w:r>
            <w:rPr>
              <w:color w:val="auto"/>
              <w:highlight w:val="none"/>
            </w:rPr>
            <w:t>下列术语和定义适用于本文件。</w:t>
          </w:r>
        </w:p>
      </w:sdtContent>
    </w:sdt>
    <w:p w14:paraId="2FA24EA2">
      <w:pPr>
        <w:pStyle w:val="223"/>
        <w:ind w:left="420" w:hanging="420" w:hangingChars="200"/>
        <w:rPr>
          <w:rFonts w:ascii="黑体" w:hAnsi="黑体" w:eastAsia="黑体"/>
          <w:color w:val="auto"/>
          <w:highlight w:val="none"/>
        </w:rPr>
      </w:pPr>
      <w:r>
        <w:rPr>
          <w:rFonts w:ascii="黑体" w:hAnsi="黑体" w:eastAsia="黑体"/>
          <w:color w:val="auto"/>
          <w:highlight w:val="none"/>
        </w:rPr>
        <w:br w:type="textWrapping"/>
      </w:r>
      <w:r>
        <w:rPr>
          <w:rFonts w:ascii="黑体" w:hAnsi="黑体" w:eastAsia="黑体"/>
          <w:color w:val="auto"/>
          <w:highlight w:val="none"/>
        </w:rPr>
        <w:t>开标区</w:t>
      </w:r>
    </w:p>
    <w:p w14:paraId="00AF61A4">
      <w:pPr>
        <w:pStyle w:val="56"/>
        <w:ind w:firstLine="420"/>
        <w:rPr>
          <w:color w:val="auto"/>
          <w:highlight w:val="none"/>
        </w:rPr>
      </w:pPr>
      <w:r>
        <w:rPr>
          <w:color w:val="auto"/>
          <w:highlight w:val="none"/>
        </w:rPr>
        <w:t>主要</w:t>
      </w:r>
      <w:r>
        <w:rPr>
          <w:rFonts w:hint="eastAsia"/>
          <w:color w:val="auto"/>
          <w:highlight w:val="none"/>
        </w:rPr>
        <w:t>用于各类公共资源交易开标活动的专用场所。</w:t>
      </w:r>
    </w:p>
    <w:p w14:paraId="63417A50">
      <w:pPr>
        <w:pStyle w:val="104"/>
        <w:spacing w:before="312" w:after="312"/>
        <w:rPr>
          <w:color w:val="auto"/>
          <w:highlight w:val="none"/>
        </w:rPr>
      </w:pPr>
      <w:r>
        <w:rPr>
          <w:rFonts w:hint="eastAsia"/>
          <w:color w:val="auto"/>
          <w:highlight w:val="none"/>
        </w:rPr>
        <w:t>工作要求</w:t>
      </w:r>
    </w:p>
    <w:p w14:paraId="61FE2F92">
      <w:pPr>
        <w:pStyle w:val="162"/>
        <w:rPr>
          <w:color w:val="auto"/>
          <w:highlight w:val="none"/>
        </w:rPr>
      </w:pPr>
      <w:r>
        <w:rPr>
          <w:color w:val="auto"/>
          <w:highlight w:val="none"/>
        </w:rPr>
        <w:t>开标区</w:t>
      </w:r>
      <w:r>
        <w:rPr>
          <w:rFonts w:hint="eastAsia"/>
          <w:color w:val="auto"/>
          <w:highlight w:val="none"/>
        </w:rPr>
        <w:t>所有交易行为，包括：开标准备、开标、唱标、特殊事项处理等应在业务监控范围内进行。</w:t>
      </w:r>
    </w:p>
    <w:p w14:paraId="6F73D78B">
      <w:pPr>
        <w:pStyle w:val="162"/>
        <w:rPr>
          <w:color w:val="auto"/>
          <w:highlight w:val="none"/>
        </w:rPr>
      </w:pPr>
      <w:r>
        <w:rPr>
          <w:color w:val="auto"/>
          <w:highlight w:val="none"/>
        </w:rPr>
        <w:t>允许进入开标室的人员应为</w:t>
      </w:r>
      <w:r>
        <w:rPr>
          <w:rFonts w:hint="eastAsia"/>
          <w:color w:val="auto"/>
          <w:highlight w:val="none"/>
        </w:rPr>
        <w:t>：中心工作人员、项目监督人员、</w:t>
      </w:r>
      <w:r>
        <w:rPr>
          <w:rFonts w:hint="eastAsia"/>
          <w:color w:val="auto"/>
          <w:highlight w:val="none"/>
          <w:lang w:val="en-US" w:eastAsia="zh-CN"/>
        </w:rPr>
        <w:t>项目实施主体</w:t>
      </w:r>
      <w:r>
        <w:rPr>
          <w:rFonts w:hint="eastAsia"/>
          <w:color w:val="auto"/>
          <w:highlight w:val="none"/>
        </w:rPr>
        <w:t>代表、代理机构人员、竞争主体代表等。</w:t>
      </w:r>
    </w:p>
    <w:p w14:paraId="4A20D1BA">
      <w:pPr>
        <w:pStyle w:val="162"/>
        <w:rPr>
          <w:color w:val="auto"/>
          <w:highlight w:val="none"/>
        </w:rPr>
      </w:pPr>
      <w:r>
        <w:rPr>
          <w:color w:val="auto"/>
          <w:highlight w:val="none"/>
        </w:rPr>
        <w:t>中心</w:t>
      </w:r>
      <w:r>
        <w:rPr>
          <w:rFonts w:hint="eastAsia"/>
          <w:color w:val="auto"/>
          <w:highlight w:val="none"/>
        </w:rPr>
        <w:t>工作人员应提醒进入开标场地内人员统一着装、亮明身份，中心工作人员穿黄色马甲，监督人员穿蓝色马甲，代理机构工作人员穿红色马甲，物业、后勤人员穿工作服。</w:t>
      </w:r>
    </w:p>
    <w:p w14:paraId="681AAB81">
      <w:pPr>
        <w:pStyle w:val="162"/>
        <w:rPr>
          <w:color w:val="auto"/>
          <w:highlight w:val="none"/>
        </w:rPr>
      </w:pPr>
      <w:r>
        <w:rPr>
          <w:color w:val="auto"/>
          <w:highlight w:val="none"/>
        </w:rPr>
        <w:t>中心</w:t>
      </w:r>
      <w:r>
        <w:rPr>
          <w:rFonts w:hint="eastAsia"/>
          <w:color w:val="auto"/>
          <w:highlight w:val="none"/>
        </w:rPr>
        <w:t>工作人员应提醒进入开标区的人员不在走廊聚众聊天，不大声喧哗，不随地乱丢杂物，禁止吸烟。</w:t>
      </w:r>
    </w:p>
    <w:p w14:paraId="62325305">
      <w:pPr>
        <w:pStyle w:val="162"/>
        <w:rPr>
          <w:color w:val="auto"/>
          <w:highlight w:val="none"/>
        </w:rPr>
      </w:pPr>
      <w:r>
        <w:rPr>
          <w:color w:val="auto"/>
          <w:highlight w:val="none"/>
        </w:rPr>
        <w:t>中心</w:t>
      </w:r>
      <w:r>
        <w:rPr>
          <w:rFonts w:hint="eastAsia"/>
          <w:color w:val="auto"/>
          <w:highlight w:val="none"/>
        </w:rPr>
        <w:t>工作人员应引导</w:t>
      </w:r>
      <w:r>
        <w:rPr>
          <w:rFonts w:hint="eastAsia"/>
          <w:color w:val="auto"/>
          <w:highlight w:val="none"/>
          <w:lang w:val="en-US" w:eastAsia="zh-CN"/>
        </w:rPr>
        <w:t>项目实施主体</w:t>
      </w:r>
      <w:r>
        <w:rPr>
          <w:rFonts w:hint="eastAsia"/>
          <w:color w:val="auto"/>
          <w:highlight w:val="none"/>
        </w:rPr>
        <w:t>代表、代理机构人员进入相应开标室。</w:t>
      </w:r>
    </w:p>
    <w:p w14:paraId="3FA7DAE1">
      <w:pPr>
        <w:pStyle w:val="162"/>
        <w:rPr>
          <w:color w:val="auto"/>
          <w:highlight w:val="none"/>
        </w:rPr>
      </w:pPr>
      <w:r>
        <w:rPr>
          <w:color w:val="auto"/>
          <w:highlight w:val="none"/>
        </w:rPr>
        <w:t>中心</w:t>
      </w:r>
      <w:r>
        <w:rPr>
          <w:rFonts w:hint="eastAsia"/>
          <w:color w:val="auto"/>
          <w:highlight w:val="none"/>
        </w:rPr>
        <w:t>工作人员应指导代理机构工作人员维持开标秩序。</w:t>
      </w:r>
    </w:p>
    <w:p w14:paraId="2584D171">
      <w:pPr>
        <w:pStyle w:val="162"/>
        <w:rPr>
          <w:color w:val="auto"/>
          <w:highlight w:val="none"/>
        </w:rPr>
      </w:pPr>
      <w:r>
        <w:rPr>
          <w:rFonts w:hint="eastAsia"/>
          <w:color w:val="auto"/>
          <w:highlight w:val="none"/>
        </w:rPr>
        <w:t>参加开标活动的全体人员，应自觉遵守纪律，将通讯工具关闭或调至静音状态。</w:t>
      </w:r>
    </w:p>
    <w:p w14:paraId="73639E82">
      <w:pPr>
        <w:pStyle w:val="162"/>
        <w:rPr>
          <w:color w:val="auto"/>
          <w:highlight w:val="none"/>
        </w:rPr>
      </w:pPr>
      <w:r>
        <w:rPr>
          <w:color w:val="auto"/>
          <w:highlight w:val="none"/>
        </w:rPr>
        <w:t>中心</w:t>
      </w:r>
      <w:r>
        <w:rPr>
          <w:rFonts w:hint="eastAsia"/>
          <w:color w:val="auto"/>
          <w:highlight w:val="none"/>
        </w:rPr>
        <w:t>工作人员应督促、提醒代理机构安全、规范使用交易场所内的设备设施，爱护物品，不应私自移动设备和接拉电源等。</w:t>
      </w:r>
    </w:p>
    <w:p w14:paraId="4FC4E5D9">
      <w:pPr>
        <w:pStyle w:val="162"/>
        <w:rPr>
          <w:color w:val="auto"/>
          <w:highlight w:val="none"/>
        </w:rPr>
      </w:pPr>
      <w:r>
        <w:rPr>
          <w:color w:val="auto"/>
          <w:highlight w:val="none"/>
        </w:rPr>
        <w:t>项目</w:t>
      </w:r>
      <w:r>
        <w:rPr>
          <w:rFonts w:hint="eastAsia"/>
          <w:color w:val="auto"/>
          <w:highlight w:val="none"/>
        </w:rPr>
        <w:t>开标结束后，中心工作人员应提醒代理机构及时清理相关资料，及时检查并关闭电源、空调、门窗等。</w:t>
      </w:r>
    </w:p>
    <w:bookmarkEnd w:id="16"/>
    <w:p w14:paraId="4FB2A327">
      <w:pPr>
        <w:pStyle w:val="56"/>
        <w:ind w:firstLine="0" w:firstLineChars="0"/>
        <w:jc w:val="center"/>
      </w:pPr>
      <w:bookmarkStart w:id="38" w:name="BookMark8"/>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1"/>
                    <a:stretch>
                      <a:fillRect/>
                    </a:stretch>
                  </pic:blipFill>
                  <pic:spPr>
                    <a:xfrm>
                      <a:off x="0" y="0"/>
                      <a:ext cx="1485900" cy="317500"/>
                    </a:xfrm>
                    <a:prstGeom prst="rect">
                      <a:avLst/>
                    </a:prstGeom>
                  </pic:spPr>
                </pic:pic>
              </a:graphicData>
            </a:graphic>
          </wp:inline>
        </w:drawing>
      </w:r>
      <w:bookmarkEnd w:id="38"/>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673E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A8C1B">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5DD6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268AB">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D4FFB">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34582">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AF3B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EB877">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FB80C">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DE85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D145E">
    <w:pPr>
      <w:pStyle w:val="61"/>
    </w:pPr>
    <w:r>
      <w:fldChar w:fldCharType="begin"/>
    </w:r>
    <w:r>
      <w:instrText xml:space="preserve"> STYLEREF  标准文件_文件编号  \* MERGEFORMAT </w:instrText>
    </w:r>
    <w:r>
      <w:fldChar w:fldCharType="separate"/>
    </w:r>
    <w:r>
      <w:t>Q/XCGJZ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3E408">
    <w:pPr>
      <w:pStyle w:val="62"/>
    </w:pPr>
    <w:r>
      <w:fldChar w:fldCharType="begin"/>
    </w:r>
    <w:r>
      <w:instrText xml:space="preserve"> STYLEREF  标准文件_文件编号 \* MERGEFORMAT </w:instrText>
    </w:r>
    <w:r>
      <w:fldChar w:fldCharType="separate"/>
    </w:r>
    <w:r>
      <w:t>Q/XCGJZ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2A86E">
    <w:pPr>
      <w:pStyle w:val="61"/>
    </w:pPr>
    <w:r>
      <w:fldChar w:fldCharType="begin"/>
    </w:r>
    <w:r>
      <w:instrText xml:space="preserve"> STYLEREF  标准文件_文件编号  \* MERGEFORMAT </w:instrText>
    </w:r>
    <w:r>
      <w:fldChar w:fldCharType="separate"/>
    </w:r>
    <w:r>
      <w:t>Q/XCGJZ 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55452">
    <w:pPr>
      <w:pStyle w:val="62"/>
    </w:pPr>
    <w:r>
      <w:fldChar w:fldCharType="begin"/>
    </w:r>
    <w:r>
      <w:instrText xml:space="preserve"> STYLEREF  标准文件_文件编号 \* MERGEFORMAT </w:instrText>
    </w:r>
    <w:r>
      <w:fldChar w:fldCharType="separate"/>
    </w:r>
    <w:r>
      <w:t>Q/XCGJZ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LlDybP4klthp5irhUZ7fEYLytBKcEYhrvMxh22MoqyQzghRbNTB7qcsmHBspHGPMlmWRZoGPk7LlFyEr5ns/kA==" w:salt="IltbydLFv/SEVbF11+FaRg=="/>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3F5"/>
    <w:rsid w:val="0000040A"/>
    <w:rsid w:val="00000A94"/>
    <w:rsid w:val="00001972"/>
    <w:rsid w:val="00001D9A"/>
    <w:rsid w:val="0000380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0E20"/>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97C"/>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742"/>
    <w:rsid w:val="00247F52"/>
    <w:rsid w:val="00250888"/>
    <w:rsid w:val="00250B25"/>
    <w:rsid w:val="00250BBE"/>
    <w:rsid w:val="00250F4B"/>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86C"/>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0F39"/>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4E1"/>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0AAD"/>
    <w:rsid w:val="0083348C"/>
    <w:rsid w:val="008373D3"/>
    <w:rsid w:val="00840617"/>
    <w:rsid w:val="00840F84"/>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DA1"/>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E695D"/>
    <w:rsid w:val="009F03B3"/>
    <w:rsid w:val="009F2505"/>
    <w:rsid w:val="00A0096C"/>
    <w:rsid w:val="00A01757"/>
    <w:rsid w:val="00A028C0"/>
    <w:rsid w:val="00A02BAE"/>
    <w:rsid w:val="00A06A6B"/>
    <w:rsid w:val="00A07A8E"/>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61F1"/>
    <w:rsid w:val="00B265BC"/>
    <w:rsid w:val="00B31FB1"/>
    <w:rsid w:val="00B333F7"/>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3E9"/>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0B8"/>
    <w:rsid w:val="00BE5B52"/>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9F4"/>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3F5"/>
    <w:rsid w:val="00D66846"/>
    <w:rsid w:val="00D675FB"/>
    <w:rsid w:val="00D71F25"/>
    <w:rsid w:val="00D72A9C"/>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4CEC"/>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2C59"/>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0AE6"/>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5F8"/>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B46353B"/>
    <w:rsid w:val="5EA17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uiPriority="39" w:semiHidden="0" w:name="toc 4"/>
    <w:lsdException w:qFormat="1" w:uiPriority="39" w:semiHidden="0" w:name="toc 5"/>
    <w:lsdException w:qFormat="1"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1560A00ECDF43E1BFE3189C275C2732"/>
        <w:style w:val=""/>
        <w:category>
          <w:name w:val="常规"/>
          <w:gallery w:val="placeholder"/>
        </w:category>
        <w:types>
          <w:type w:val="bbPlcHdr"/>
        </w:types>
        <w:behaviors>
          <w:behavior w:val="content"/>
        </w:behaviors>
        <w:description w:val=""/>
        <w:guid w:val="{AE5C32D2-6F32-4C3D-A324-BFDEDE7CA958}"/>
      </w:docPartPr>
      <w:docPartBody>
        <w:p w14:paraId="0F247278">
          <w:pPr>
            <w:pStyle w:val="5"/>
          </w:pPr>
          <w:r>
            <w:rPr>
              <w:rStyle w:val="4"/>
              <w:rFonts w:hint="eastAsia"/>
            </w:rPr>
            <w:t>单击或点击此处输入文字。</w:t>
          </w:r>
        </w:p>
      </w:docPartBody>
    </w:docPart>
    <w:docPart>
      <w:docPartPr>
        <w:name w:val="82845FE6394148DDB6BFB592495F490D"/>
        <w:style w:val=""/>
        <w:category>
          <w:name w:val="常规"/>
          <w:gallery w:val="placeholder"/>
        </w:category>
        <w:types>
          <w:type w:val="bbPlcHdr"/>
        </w:types>
        <w:behaviors>
          <w:behavior w:val="content"/>
        </w:behaviors>
        <w:description w:val=""/>
        <w:guid w:val="{56E09D58-DD21-4CA1-996B-CFFD3FF6C257}"/>
      </w:docPartPr>
      <w:docPartBody>
        <w:p w14:paraId="24A42CF6">
          <w:pPr>
            <w:pStyle w:val="6"/>
          </w:pPr>
          <w:r>
            <w:rPr>
              <w:rStyle w:val="4"/>
              <w:rFonts w:hint="eastAsia"/>
            </w:rPr>
            <w:t>选择一项。</w:t>
          </w:r>
        </w:p>
      </w:docPartBody>
    </w:docPart>
    <w:docPart>
      <w:docPartPr>
        <w:name w:val="BBB76FB043A848B88D5901347ECF0CD9"/>
        <w:style w:val=""/>
        <w:category>
          <w:name w:val="常规"/>
          <w:gallery w:val="placeholder"/>
        </w:category>
        <w:types>
          <w:type w:val="bbPlcHdr"/>
        </w:types>
        <w:behaviors>
          <w:behavior w:val="content"/>
        </w:behaviors>
        <w:description w:val=""/>
        <w:guid w:val="{F587ABB2-230C-4C9E-A206-45C2F6F48D32}"/>
      </w:docPartPr>
      <w:docPartBody>
        <w:p w14:paraId="7F3D2D48">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120"/>
    <w:rsid w:val="000E0C32"/>
    <w:rsid w:val="001111E4"/>
    <w:rsid w:val="00185120"/>
    <w:rsid w:val="00321946"/>
    <w:rsid w:val="00627C9A"/>
    <w:rsid w:val="008C6AF5"/>
    <w:rsid w:val="00A3137E"/>
    <w:rsid w:val="00FB2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1560A00ECDF43E1BFE3189C275C273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2845FE6394148DDB6BFB592495F49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BB76FB043A848B88D5901347ECF0CD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912BFD-67C6-4D46-A6EE-CC5E71E7C16D}">
  <ds:schemaRefs/>
</ds:datastoreItem>
</file>

<file path=docProps/app.xml><?xml version="1.0" encoding="utf-8"?>
<Properties xmlns="http://schemas.openxmlformats.org/officeDocument/2006/extended-properties" xmlns:vt="http://schemas.openxmlformats.org/officeDocument/2006/docPropsVTypes">
  <Template>企业标准</Template>
  <Company>PCMI</Company>
  <Pages>5</Pages>
  <Words>698</Words>
  <Characters>741</Characters>
  <Lines>7</Lines>
  <Paragraphs>2</Paragraphs>
  <TotalTime>1</TotalTime>
  <ScaleCrop>false</ScaleCrop>
  <LinksUpToDate>false</LinksUpToDate>
  <CharactersWithSpaces>756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2025-01-07T05:31:00Z</dcterms:created>
  <dc:creator>王程鹏</dc:creator>
  <dc:description>&lt;config cover="true" show_menu="true" version="1.0.0" doctype="SDKXY"&gt;_x000d_
&lt;/config&gt;</dc:description>
  <cp:lastModifiedBy>为你存在</cp:lastModifiedBy>
  <cp:lastPrinted>2020-08-30T10:00:00Z</cp:lastPrinted>
  <dcterms:modified xsi:type="dcterms:W3CDTF">2025-02-06T08:16:59Z</dcterms:modified>
  <dc:title>企业标准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2052-12.1.0.19770</vt:lpwstr>
  </property>
  <property fmtid="{D5CDD505-2E9C-101B-9397-08002B2CF9AE}" pid="16" name="ICV">
    <vt:lpwstr>9C1058D8AC1F4565ADE791E44054061B_12</vt:lpwstr>
  </property>
  <property fmtid="{D5CDD505-2E9C-101B-9397-08002B2CF9AE}" pid="17" name="KSOTemplateDocerSaveRecord">
    <vt:lpwstr>eyJoZGlkIjoiNmQ0NzhhMjIyNjRiNGExMTAxNTkwOTI1ZmYyZGUxMjMiLCJ1c2VySWQiOiI0NTgyNTk2NzEifQ==</vt:lpwstr>
  </property>
</Properties>
</file>